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ind w:left="0" w:leftChars="0" w:firstLine="0" w:firstLineChars="0"/>
        <w:jc w:val="center"/>
        <w:rPr>
          <w:rFonts w:hint="eastAsia" w:ascii="黑体" w:hAnsi="黑体" w:eastAsia="黑体"/>
          <w:b/>
          <w:sz w:val="52"/>
          <w:szCs w:val="52"/>
        </w:rPr>
      </w:pPr>
      <w:bookmarkStart w:id="0" w:name="_GoBack"/>
      <w:bookmarkEnd w:id="0"/>
      <w:r>
        <w:rPr>
          <w:rFonts w:hint="eastAsia" w:ascii="黑体" w:hAnsi="黑体" w:eastAsia="黑体"/>
          <w:b/>
          <w:sz w:val="52"/>
          <w:szCs w:val="52"/>
        </w:rPr>
        <w:t>双键化工（泰兴）有限公司</w:t>
      </w:r>
    </w:p>
    <w:p>
      <w:pPr>
        <w:spacing w:line="1000" w:lineRule="exact"/>
        <w:jc w:val="center"/>
        <w:rPr>
          <w:rFonts w:hint="eastAsia" w:ascii="黑体" w:hAnsi="黑体" w:eastAsia="黑体"/>
          <w:b/>
          <w:sz w:val="52"/>
          <w:szCs w:val="52"/>
        </w:rPr>
      </w:pPr>
      <w:r>
        <w:rPr>
          <w:rFonts w:hint="eastAsia" w:ascii="黑体" w:hAnsi="黑体" w:eastAsia="黑体"/>
          <w:b/>
          <w:sz w:val="52"/>
          <w:szCs w:val="52"/>
        </w:rPr>
        <w:t>废</w:t>
      </w:r>
    </w:p>
    <w:p>
      <w:pPr>
        <w:jc w:val="center"/>
        <w:rPr>
          <w:rFonts w:hint="eastAsia" w:ascii="黑体" w:hAnsi="黑体" w:eastAsia="黑体"/>
          <w:b/>
          <w:sz w:val="52"/>
          <w:szCs w:val="52"/>
        </w:rPr>
      </w:pPr>
      <w:r>
        <w:rPr>
          <w:rFonts w:hint="eastAsia" w:ascii="黑体" w:hAnsi="黑体" w:eastAsia="黑体"/>
          <w:b/>
          <w:sz w:val="52"/>
          <w:szCs w:val="52"/>
        </w:rPr>
        <w:t>气</w:t>
      </w:r>
    </w:p>
    <w:p>
      <w:pPr>
        <w:jc w:val="center"/>
        <w:rPr>
          <w:rFonts w:hint="eastAsia" w:ascii="黑体" w:hAnsi="黑体" w:eastAsia="黑体"/>
          <w:b/>
          <w:sz w:val="52"/>
          <w:szCs w:val="52"/>
          <w:lang w:val="en-US" w:eastAsia="zh-CN"/>
        </w:rPr>
      </w:pPr>
      <w:r>
        <w:rPr>
          <w:rFonts w:hint="eastAsia" w:ascii="黑体" w:hAnsi="黑体" w:eastAsia="黑体"/>
          <w:b/>
          <w:sz w:val="52"/>
          <w:szCs w:val="52"/>
          <w:lang w:val="en-US" w:eastAsia="zh-CN"/>
        </w:rPr>
        <w:t>超</w:t>
      </w:r>
    </w:p>
    <w:p>
      <w:pPr>
        <w:jc w:val="center"/>
        <w:rPr>
          <w:rFonts w:hint="eastAsia" w:ascii="黑体" w:hAnsi="黑体" w:eastAsia="黑体"/>
          <w:b/>
          <w:sz w:val="52"/>
          <w:szCs w:val="52"/>
          <w:lang w:val="en-US" w:eastAsia="zh-CN"/>
        </w:rPr>
      </w:pPr>
      <w:r>
        <w:rPr>
          <w:rFonts w:hint="eastAsia" w:ascii="黑体" w:hAnsi="黑体" w:eastAsia="黑体"/>
          <w:b/>
          <w:sz w:val="52"/>
          <w:szCs w:val="52"/>
          <w:lang w:val="en-US" w:eastAsia="zh-CN"/>
        </w:rPr>
        <w:t>标</w:t>
      </w:r>
    </w:p>
    <w:p>
      <w:pPr>
        <w:jc w:val="center"/>
        <w:rPr>
          <w:rFonts w:hint="eastAsia" w:ascii="黑体" w:hAnsi="黑体" w:eastAsia="黑体"/>
          <w:b/>
          <w:sz w:val="52"/>
          <w:szCs w:val="52"/>
          <w:lang w:val="en-US" w:eastAsia="zh-CN"/>
        </w:rPr>
      </w:pPr>
      <w:r>
        <w:rPr>
          <w:rFonts w:hint="eastAsia" w:ascii="黑体" w:hAnsi="黑体" w:eastAsia="黑体"/>
          <w:b/>
          <w:sz w:val="52"/>
          <w:szCs w:val="52"/>
          <w:lang w:val="en-US" w:eastAsia="zh-CN"/>
        </w:rPr>
        <w:t>排</w:t>
      </w:r>
    </w:p>
    <w:p>
      <w:pPr>
        <w:jc w:val="center"/>
        <w:rPr>
          <w:rFonts w:hint="eastAsia" w:ascii="黑体" w:hAnsi="黑体" w:eastAsia="黑体"/>
          <w:b/>
          <w:sz w:val="52"/>
          <w:szCs w:val="52"/>
          <w:lang w:val="en-US" w:eastAsia="zh-CN"/>
        </w:rPr>
      </w:pPr>
      <w:r>
        <w:rPr>
          <w:rFonts w:hint="eastAsia" w:ascii="黑体" w:hAnsi="黑体" w:eastAsia="黑体"/>
          <w:b/>
          <w:sz w:val="52"/>
          <w:szCs w:val="52"/>
          <w:lang w:val="en-US" w:eastAsia="zh-CN"/>
        </w:rPr>
        <w:t>放</w:t>
      </w:r>
    </w:p>
    <w:p>
      <w:pPr>
        <w:jc w:val="center"/>
        <w:rPr>
          <w:rFonts w:hint="eastAsia" w:ascii="黑体" w:hAnsi="黑体" w:eastAsia="黑体"/>
          <w:b/>
          <w:sz w:val="52"/>
          <w:szCs w:val="52"/>
          <w:lang w:val="en-US" w:eastAsia="zh-CN"/>
        </w:rPr>
      </w:pPr>
      <w:r>
        <w:rPr>
          <w:rFonts w:hint="eastAsia" w:ascii="黑体" w:hAnsi="黑体" w:eastAsia="黑体"/>
          <w:b/>
          <w:sz w:val="52"/>
          <w:szCs w:val="52"/>
          <w:lang w:val="en-US" w:eastAsia="zh-CN"/>
        </w:rPr>
        <w:t>整</w:t>
      </w:r>
    </w:p>
    <w:p>
      <w:pPr>
        <w:jc w:val="center"/>
        <w:rPr>
          <w:rFonts w:hint="eastAsia" w:ascii="黑体" w:hAnsi="黑体" w:eastAsia="黑体"/>
          <w:b/>
          <w:sz w:val="52"/>
          <w:szCs w:val="52"/>
          <w:lang w:val="en-US" w:eastAsia="zh-CN"/>
        </w:rPr>
      </w:pPr>
      <w:r>
        <w:rPr>
          <w:rFonts w:hint="eastAsia" w:ascii="黑体" w:hAnsi="黑体" w:eastAsia="黑体"/>
          <w:b/>
          <w:sz w:val="52"/>
          <w:szCs w:val="52"/>
          <w:lang w:val="en-US" w:eastAsia="zh-CN"/>
        </w:rPr>
        <w:t>改</w:t>
      </w:r>
    </w:p>
    <w:p>
      <w:pPr>
        <w:jc w:val="center"/>
        <w:rPr>
          <w:rFonts w:hint="eastAsia" w:ascii="黑体" w:hAnsi="黑体" w:eastAsia="黑体"/>
          <w:b/>
          <w:sz w:val="52"/>
          <w:szCs w:val="52"/>
          <w:lang w:val="en-US" w:eastAsia="zh-CN"/>
        </w:rPr>
      </w:pPr>
      <w:r>
        <w:rPr>
          <w:rFonts w:hint="eastAsia" w:ascii="黑体" w:hAnsi="黑体" w:eastAsia="黑体"/>
          <w:b/>
          <w:sz w:val="52"/>
          <w:szCs w:val="52"/>
          <w:lang w:val="en-US" w:eastAsia="zh-CN"/>
        </w:rPr>
        <w:t>完</w:t>
      </w:r>
    </w:p>
    <w:p>
      <w:pPr>
        <w:jc w:val="center"/>
        <w:rPr>
          <w:rFonts w:hint="eastAsia" w:ascii="黑体" w:hAnsi="黑体" w:eastAsia="黑体"/>
          <w:b/>
          <w:sz w:val="52"/>
          <w:szCs w:val="52"/>
        </w:rPr>
      </w:pPr>
      <w:r>
        <w:rPr>
          <w:rFonts w:hint="eastAsia" w:ascii="黑体" w:hAnsi="黑体" w:eastAsia="黑体"/>
          <w:b/>
          <w:sz w:val="52"/>
          <w:szCs w:val="52"/>
          <w:lang w:val="en-US" w:eastAsia="zh-CN"/>
        </w:rPr>
        <w:t>成</w:t>
      </w:r>
    </w:p>
    <w:p>
      <w:pPr>
        <w:jc w:val="center"/>
        <w:rPr>
          <w:rFonts w:hint="eastAsia" w:ascii="黑体" w:hAnsi="黑体" w:eastAsia="黑体"/>
          <w:b/>
          <w:sz w:val="52"/>
          <w:szCs w:val="52"/>
        </w:rPr>
      </w:pPr>
      <w:r>
        <w:rPr>
          <w:rFonts w:hint="eastAsia" w:ascii="黑体" w:hAnsi="黑体" w:eastAsia="黑体"/>
          <w:b/>
          <w:sz w:val="52"/>
          <w:szCs w:val="52"/>
        </w:rPr>
        <w:t>资</w:t>
      </w:r>
    </w:p>
    <w:p>
      <w:pPr>
        <w:jc w:val="center"/>
        <w:rPr>
          <w:rFonts w:hint="eastAsia" w:ascii="黑体" w:hAnsi="黑体" w:eastAsia="黑体"/>
          <w:b/>
          <w:sz w:val="52"/>
          <w:szCs w:val="52"/>
        </w:rPr>
      </w:pPr>
      <w:r>
        <w:rPr>
          <w:rFonts w:hint="eastAsia" w:ascii="黑体" w:hAnsi="黑体" w:eastAsia="黑体"/>
          <w:b/>
          <w:sz w:val="52"/>
          <w:szCs w:val="52"/>
        </w:rPr>
        <w:t>料</w:t>
      </w:r>
    </w:p>
    <w:p>
      <w:pPr>
        <w:spacing w:line="1000" w:lineRule="exact"/>
        <w:jc w:val="center"/>
        <w:rPr>
          <w:rFonts w:hint="eastAsia" w:ascii="黑体" w:hAnsi="黑体" w:eastAsia="黑体"/>
          <w:b/>
          <w:sz w:val="52"/>
          <w:szCs w:val="52"/>
        </w:rPr>
      </w:pPr>
      <w:r>
        <w:rPr>
          <w:rFonts w:hint="eastAsia" w:ascii="黑体" w:hAnsi="黑体" w:eastAsia="黑体"/>
          <w:b/>
          <w:sz w:val="52"/>
          <w:szCs w:val="52"/>
        </w:rPr>
        <w:t>2018年7月</w:t>
      </w:r>
    </w:p>
    <w:p>
      <w:pPr>
        <w:spacing w:line="1000" w:lineRule="exact"/>
        <w:jc w:val="center"/>
        <w:rPr>
          <w:rFonts w:hint="eastAsia" w:ascii="黑体" w:hAnsi="黑体" w:eastAsia="黑体"/>
          <w:b/>
          <w:sz w:val="52"/>
          <w:szCs w:val="52"/>
        </w:rPr>
      </w:pPr>
    </w:p>
    <w:p>
      <w:pPr>
        <w:spacing w:line="1000" w:lineRule="exact"/>
        <w:jc w:val="center"/>
        <w:rPr>
          <w:rFonts w:hint="eastAsia" w:ascii="黑体" w:hAnsi="黑体" w:eastAsia="黑体"/>
          <w:b/>
          <w:sz w:val="52"/>
          <w:szCs w:val="52"/>
        </w:rPr>
      </w:pPr>
      <w:r>
        <w:rPr>
          <w:rFonts w:hint="eastAsia" w:ascii="黑体" w:hAnsi="黑体" w:eastAsia="黑体"/>
          <w:b/>
          <w:sz w:val="52"/>
          <w:szCs w:val="52"/>
        </w:rPr>
        <w:t>目录</w:t>
      </w:r>
    </w:p>
    <w:p>
      <w:pPr>
        <w:numPr>
          <w:ilvl w:val="0"/>
          <w:numId w:val="1"/>
        </w:numPr>
        <w:spacing w:line="640" w:lineRule="exact"/>
        <w:rPr>
          <w:rFonts w:hint="eastAsia" w:ascii="宋体" w:hAnsi="宋体" w:eastAsia="宋体"/>
          <w:sz w:val="28"/>
          <w:szCs w:val="28"/>
        </w:rPr>
      </w:pPr>
      <w:r>
        <w:rPr>
          <w:rFonts w:hint="eastAsia" w:ascii="宋体" w:hAnsi="宋体" w:eastAsia="宋体"/>
          <w:sz w:val="28"/>
          <w:szCs w:val="28"/>
        </w:rPr>
        <w:t>公司原有废气处理状况和改造方案</w:t>
      </w:r>
      <w:r>
        <w:rPr>
          <w:rFonts w:ascii="宋体" w:hAnsi="宋体" w:eastAsia="宋体"/>
          <w:sz w:val="28"/>
          <w:szCs w:val="28"/>
        </w:rPr>
        <w:t>……</w:t>
      </w:r>
      <w:r>
        <w:rPr>
          <w:rFonts w:ascii="宋体" w:hAnsi="宋体" w:eastAsia="宋体"/>
          <w:sz w:val="32"/>
          <w:szCs w:val="32"/>
        </w:rPr>
        <w:t>…………………</w:t>
      </w:r>
      <w:r>
        <w:rPr>
          <w:rFonts w:hint="eastAsia" w:ascii="宋体" w:hAnsi="宋体" w:eastAsia="宋体"/>
          <w:sz w:val="32"/>
          <w:szCs w:val="32"/>
        </w:rPr>
        <w:t>3</w:t>
      </w:r>
    </w:p>
    <w:p>
      <w:pPr>
        <w:numPr>
          <w:ilvl w:val="0"/>
          <w:numId w:val="1"/>
        </w:numPr>
        <w:spacing w:line="1000" w:lineRule="exact"/>
        <w:rPr>
          <w:rFonts w:hint="eastAsia" w:ascii="宋体" w:hAnsi="宋体" w:eastAsia="宋体"/>
          <w:sz w:val="32"/>
          <w:szCs w:val="32"/>
        </w:rPr>
      </w:pPr>
      <w:r>
        <w:rPr>
          <w:rFonts w:hint="eastAsia" w:ascii="宋体" w:hAnsi="宋体" w:eastAsia="宋体"/>
          <w:sz w:val="32"/>
          <w:szCs w:val="32"/>
        </w:rPr>
        <w:t>项目进度</w:t>
      </w:r>
      <w:r>
        <w:rPr>
          <w:rFonts w:ascii="宋体" w:hAnsi="宋体" w:eastAsia="宋体"/>
          <w:sz w:val="32"/>
          <w:szCs w:val="32"/>
        </w:rPr>
        <w:t>………………………………………………</w:t>
      </w:r>
      <w:r>
        <w:rPr>
          <w:rFonts w:hint="eastAsia" w:ascii="宋体" w:hAnsi="宋体" w:eastAsia="宋体"/>
          <w:sz w:val="32"/>
          <w:szCs w:val="32"/>
        </w:rPr>
        <w:t>13</w:t>
      </w:r>
    </w:p>
    <w:p>
      <w:pPr>
        <w:numPr>
          <w:ilvl w:val="0"/>
          <w:numId w:val="1"/>
        </w:numPr>
        <w:spacing w:after="0" w:line="1000" w:lineRule="exact"/>
        <w:rPr>
          <w:rFonts w:hint="eastAsia" w:ascii="宋体" w:hAnsi="宋体" w:eastAsia="宋体"/>
          <w:sz w:val="32"/>
          <w:szCs w:val="32"/>
        </w:rPr>
      </w:pPr>
      <w:r>
        <w:rPr>
          <w:rFonts w:hint="eastAsia" w:ascii="宋体" w:hAnsi="宋体" w:eastAsia="宋体"/>
          <w:sz w:val="32"/>
          <w:szCs w:val="32"/>
        </w:rPr>
        <w:t>废气处理设施项目工程技术协议和承包合同</w:t>
      </w:r>
      <w:r>
        <w:rPr>
          <w:rFonts w:ascii="宋体" w:hAnsi="宋体" w:eastAsia="宋体" w:cs="宋体"/>
          <w:bCs/>
          <w:color w:val="000000"/>
          <w:sz w:val="32"/>
          <w:szCs w:val="32"/>
        </w:rPr>
        <w:t>………</w:t>
      </w:r>
      <w:r>
        <w:rPr>
          <w:rFonts w:hint="eastAsia" w:ascii="宋体" w:hAnsi="宋体" w:eastAsia="宋体" w:cs="宋体"/>
          <w:bCs/>
          <w:color w:val="000000"/>
          <w:sz w:val="32"/>
          <w:szCs w:val="32"/>
        </w:rPr>
        <w:t>14</w:t>
      </w:r>
    </w:p>
    <w:p>
      <w:pPr>
        <w:numPr>
          <w:ilvl w:val="0"/>
          <w:numId w:val="1"/>
        </w:numPr>
        <w:spacing w:after="0" w:line="1000" w:lineRule="exact"/>
        <w:rPr>
          <w:rFonts w:hint="eastAsia" w:ascii="宋体" w:hAnsi="宋体" w:eastAsia="宋体"/>
          <w:sz w:val="32"/>
          <w:szCs w:val="32"/>
        </w:rPr>
      </w:pPr>
      <w:r>
        <w:rPr>
          <w:rFonts w:hint="eastAsia" w:ascii="宋体" w:hAnsi="宋体" w:eastAsia="宋体"/>
          <w:sz w:val="32"/>
          <w:szCs w:val="32"/>
        </w:rPr>
        <w:t>废气处理设施改造完成后的图片</w:t>
      </w:r>
      <w:r>
        <w:rPr>
          <w:rFonts w:ascii="宋体" w:hAnsi="宋体" w:eastAsia="宋体"/>
          <w:sz w:val="32"/>
          <w:szCs w:val="32"/>
        </w:rPr>
        <w:t>……………………</w:t>
      </w:r>
      <w:r>
        <w:rPr>
          <w:rFonts w:hint="eastAsia" w:ascii="宋体" w:hAnsi="宋体" w:eastAsia="宋体"/>
          <w:sz w:val="32"/>
          <w:szCs w:val="32"/>
        </w:rPr>
        <w:t>27</w:t>
      </w:r>
    </w:p>
    <w:p>
      <w:pPr>
        <w:spacing w:line="640" w:lineRule="exact"/>
        <w:ind w:firstLine="0"/>
        <w:rPr>
          <w:rFonts w:hint="eastAsia" w:ascii="宋体" w:hAnsi="宋体" w:eastAsia="宋体"/>
          <w:sz w:val="32"/>
          <w:szCs w:val="32"/>
        </w:rPr>
      </w:pPr>
    </w:p>
    <w:p>
      <w:pPr>
        <w:spacing w:line="1000" w:lineRule="exact"/>
        <w:jc w:val="center"/>
        <w:rPr>
          <w:rFonts w:hint="eastAsia" w:ascii="黑体" w:hAnsi="黑体" w:eastAsia="黑体"/>
          <w:b/>
          <w:sz w:val="44"/>
          <w:szCs w:val="44"/>
        </w:rPr>
      </w:pPr>
    </w:p>
    <w:p>
      <w:pPr>
        <w:ind w:left="0" w:firstLine="0"/>
        <w:rPr>
          <w:rFonts w:hint="eastAsia" w:ascii="宋体" w:hAnsi="宋体" w:eastAsia="宋体"/>
          <w:b/>
          <w:sz w:val="52"/>
          <w:szCs w:val="52"/>
        </w:rPr>
      </w:pPr>
    </w:p>
    <w:p>
      <w:pPr>
        <w:ind w:left="0" w:firstLine="0"/>
        <w:rPr>
          <w:rFonts w:hint="eastAsia" w:ascii="宋体" w:hAnsi="宋体" w:eastAsia="宋体"/>
          <w:b/>
          <w:sz w:val="52"/>
          <w:szCs w:val="52"/>
        </w:rPr>
      </w:pPr>
    </w:p>
    <w:p>
      <w:pPr>
        <w:ind w:left="0" w:firstLine="0"/>
        <w:rPr>
          <w:rFonts w:hint="eastAsia" w:ascii="宋体" w:hAnsi="宋体" w:eastAsia="宋体"/>
          <w:b/>
          <w:sz w:val="52"/>
          <w:szCs w:val="52"/>
        </w:rPr>
      </w:pPr>
    </w:p>
    <w:p>
      <w:pPr>
        <w:ind w:left="0" w:firstLine="0"/>
        <w:rPr>
          <w:rFonts w:hint="eastAsia" w:ascii="宋体" w:hAnsi="宋体" w:eastAsia="宋体"/>
          <w:b/>
          <w:sz w:val="52"/>
          <w:szCs w:val="52"/>
        </w:rPr>
      </w:pPr>
    </w:p>
    <w:p>
      <w:pPr>
        <w:ind w:left="0" w:firstLine="0"/>
        <w:rPr>
          <w:rFonts w:hint="eastAsia" w:ascii="宋体" w:hAnsi="宋体" w:eastAsia="宋体"/>
          <w:b/>
          <w:sz w:val="52"/>
          <w:szCs w:val="52"/>
        </w:rPr>
      </w:pPr>
    </w:p>
    <w:p>
      <w:pPr>
        <w:numPr>
          <w:ilvl w:val="0"/>
          <w:numId w:val="2"/>
        </w:numPr>
        <w:spacing w:line="640" w:lineRule="exact"/>
        <w:rPr>
          <w:rFonts w:hint="eastAsia" w:ascii="宋体" w:hAnsi="宋体" w:eastAsia="宋体"/>
          <w:sz w:val="28"/>
          <w:szCs w:val="28"/>
        </w:rPr>
      </w:pPr>
      <w:r>
        <w:rPr>
          <w:rFonts w:hint="eastAsia" w:ascii="宋体" w:hAnsi="宋体" w:eastAsia="宋体"/>
          <w:sz w:val="28"/>
          <w:szCs w:val="28"/>
        </w:rPr>
        <w:t>公司原有废气处理状况和改造方案</w:t>
      </w:r>
    </w:p>
    <w:p>
      <w:pPr>
        <w:numPr>
          <w:ilvl w:val="1"/>
          <w:numId w:val="3"/>
        </w:numPr>
        <w:spacing w:line="640" w:lineRule="exact"/>
        <w:rPr>
          <w:rFonts w:hint="eastAsia" w:ascii="宋体" w:hAnsi="宋体" w:eastAsia="宋体"/>
          <w:sz w:val="28"/>
          <w:szCs w:val="28"/>
        </w:rPr>
      </w:pPr>
      <w:r>
        <w:rPr>
          <w:rFonts w:hint="eastAsia" w:ascii="宋体" w:hAnsi="宋体" w:eastAsia="宋体" w:cs="宋体"/>
          <w:color w:val="000000"/>
          <w:sz w:val="28"/>
          <w:szCs w:val="28"/>
        </w:rPr>
        <w:t>公司原有废气处理状况：</w:t>
      </w:r>
    </w:p>
    <w:p>
      <w:pPr>
        <w:spacing w:line="640" w:lineRule="exact"/>
        <w:ind w:left="0" w:firstLine="280" w:firstLineChars="100"/>
        <w:rPr>
          <w:rFonts w:hint="eastAsia" w:ascii="宋体" w:hAnsi="宋体" w:eastAsia="宋体"/>
          <w:sz w:val="28"/>
          <w:szCs w:val="28"/>
        </w:rPr>
      </w:pPr>
      <w:r>
        <w:rPr>
          <w:rFonts w:hint="eastAsia" w:ascii="宋体" w:hAnsi="宋体" w:eastAsia="宋体"/>
          <w:sz w:val="28"/>
          <w:szCs w:val="28"/>
        </w:rPr>
        <w:t>公司紫外线吸收剂、抗氧化剂、热安定剂、复配产品等系列产品的生产过程产生的废气组分，分为无机酸性气体和有机废气。其中无机酸性废气采用碱液喷淋进行吸收处理，有机废气主要污染物为甲苯、甲醇、粉尘、非甲烷总烃类等有机废气。将其分类收集后，分别经碱洗喷淋吸收 或者 一级冷却水冷凝+一级冷冻水冷凝+一级水喷淋吸收+三级活性炭吸附吸附措施收集后，最后分别经四根1#、2#、3#、4#均为15米高的排气筒排空，其中冷凝产生的有机溶剂全部回用，不外排。另外储罐“大小呼吸“废气+车间无组织废气+污水处理装置的废气，合并一根6#排气筒排放，其中储罐“大小呼吸“废气先经过一级冷却水冷凝回收（冷凝下来的溶剂不排放，回用至罐区用于生产），在与车间无组织废气及污水处理装置废气一道经一级碱液喷淋吸收+一级活性炭吸附处理后，经6#排气筒15m高度排放。含有氢气的废气单独排放，经5#排气筒15m高度直接排放。废气处理措施冷凝下来的溶剂全部回收至生产线使用，不外排。</w:t>
      </w:r>
    </w:p>
    <w:p>
      <w:pPr>
        <w:spacing w:line="640" w:lineRule="exact"/>
        <w:ind w:left="0" w:firstLine="280" w:firstLineChars="100"/>
        <w:rPr>
          <w:rFonts w:hint="eastAsia" w:ascii="宋体" w:hAnsi="宋体" w:eastAsia="宋体"/>
          <w:sz w:val="28"/>
          <w:szCs w:val="28"/>
        </w:rPr>
      </w:pPr>
    </w:p>
    <w:p>
      <w:pPr>
        <w:spacing w:line="640" w:lineRule="exact"/>
        <w:ind w:left="0" w:firstLine="280" w:firstLineChars="100"/>
        <w:rPr>
          <w:rFonts w:hint="eastAsia" w:ascii="宋体" w:hAnsi="宋体" w:eastAsia="宋体"/>
          <w:sz w:val="28"/>
          <w:szCs w:val="28"/>
        </w:rPr>
      </w:pPr>
    </w:p>
    <w:p>
      <w:pPr>
        <w:numPr>
          <w:ilvl w:val="1"/>
          <w:numId w:val="3"/>
        </w:numPr>
        <w:spacing w:line="640" w:lineRule="exact"/>
        <w:rPr>
          <w:rFonts w:hint="eastAsia" w:ascii="宋体" w:hAnsi="宋体" w:eastAsia="宋体"/>
          <w:sz w:val="28"/>
          <w:szCs w:val="28"/>
        </w:rPr>
      </w:pPr>
      <w:r>
        <w:rPr>
          <w:rFonts w:hint="eastAsia" w:ascii="宋体" w:hAnsi="宋体" w:eastAsia="宋体"/>
          <w:sz w:val="28"/>
          <w:szCs w:val="28"/>
        </w:rPr>
        <w:t>改造方案：</w:t>
      </w:r>
    </w:p>
    <w:p>
      <w:pPr>
        <w:spacing w:line="640" w:lineRule="exact"/>
        <w:ind w:left="0" w:firstLine="420" w:firstLineChars="150"/>
        <w:rPr>
          <w:rFonts w:hint="eastAsia" w:ascii="宋体" w:hAnsi="宋体" w:eastAsia="宋体"/>
          <w:sz w:val="28"/>
          <w:szCs w:val="28"/>
        </w:rPr>
      </w:pPr>
      <w:r>
        <w:rPr>
          <w:rFonts w:hint="eastAsia" w:ascii="宋体" w:hAnsi="宋体" w:eastAsia="宋体"/>
          <w:sz w:val="28"/>
          <w:szCs w:val="28"/>
        </w:rPr>
        <w:t xml:space="preserve">为了更好地确保公司废气稳定达标排放，公司投资500万元，将5个废气排口合并后，增加一套高效联合催化回收利用的废气处理设施，废气经处理后，排放浓度、排放速率均小于《大气污染物综合排放标准》GB16297-1996表2二级标准和《化学工业挥发性有机物排放标准》DB32/3151-2016标准的要求。     </w:t>
      </w:r>
    </w:p>
    <w:p>
      <w:pPr>
        <w:spacing w:line="640" w:lineRule="exact"/>
        <w:ind w:left="0" w:firstLine="420" w:firstLineChars="150"/>
        <w:rPr>
          <w:rFonts w:hint="eastAsia" w:ascii="宋体" w:hAnsi="宋体" w:eastAsia="宋体"/>
          <w:sz w:val="28"/>
          <w:szCs w:val="28"/>
        </w:rPr>
      </w:pPr>
      <w:r>
        <w:rPr>
          <w:rFonts w:ascii="宋体" w:hAnsi="宋体" w:eastAsia="宋体"/>
          <w:sz w:val="28"/>
          <w:szCs w:val="28"/>
        </w:rPr>
        <w:t>将原2#、3#</w:t>
      </w:r>
      <w:r>
        <w:rPr>
          <w:rFonts w:hint="eastAsia" w:ascii="宋体" w:hAnsi="宋体" w:eastAsia="宋体"/>
          <w:sz w:val="28"/>
          <w:szCs w:val="28"/>
        </w:rPr>
        <w:t>排气筒</w:t>
      </w:r>
      <w:r>
        <w:rPr>
          <w:rFonts w:ascii="宋体" w:hAnsi="宋体" w:eastAsia="宋体"/>
          <w:sz w:val="28"/>
          <w:szCs w:val="28"/>
        </w:rPr>
        <w:t>中无机废气经二级碱喷淋处理合格后于原1#排气合并至新增排气筒排放；</w:t>
      </w:r>
    </w:p>
    <w:p>
      <w:pPr>
        <w:spacing w:line="640" w:lineRule="exact"/>
        <w:ind w:left="0" w:firstLine="420" w:firstLineChars="150"/>
        <w:rPr>
          <w:rFonts w:hint="eastAsia" w:ascii="宋体" w:hAnsi="宋体" w:eastAsia="宋体"/>
          <w:sz w:val="28"/>
          <w:szCs w:val="28"/>
        </w:rPr>
      </w:pPr>
      <w:r>
        <w:rPr>
          <w:rFonts w:ascii="宋体" w:hAnsi="宋体" w:eastAsia="宋体"/>
          <w:sz w:val="28"/>
          <w:szCs w:val="28"/>
        </w:rPr>
        <w:t>原2#、3#排气筒中</w:t>
      </w:r>
      <w:r>
        <w:rPr>
          <w:rFonts w:hint="eastAsia" w:ascii="宋体" w:hAnsi="宋体" w:eastAsia="宋体"/>
          <w:sz w:val="28"/>
          <w:szCs w:val="28"/>
        </w:rPr>
        <w:t>有机</w:t>
      </w:r>
      <w:r>
        <w:rPr>
          <w:rFonts w:ascii="宋体" w:hAnsi="宋体" w:eastAsia="宋体"/>
          <w:sz w:val="28"/>
          <w:szCs w:val="28"/>
        </w:rPr>
        <w:t>废气</w:t>
      </w:r>
      <w:r>
        <w:rPr>
          <w:rFonts w:hint="eastAsia" w:ascii="宋体" w:hAnsi="宋体" w:eastAsia="宋体"/>
          <w:sz w:val="28"/>
          <w:szCs w:val="28"/>
        </w:rPr>
        <w:t>经二级冷冻水冷凝后</w:t>
      </w:r>
      <w:r>
        <w:rPr>
          <w:rFonts w:ascii="宋体" w:hAnsi="宋体" w:eastAsia="宋体"/>
          <w:sz w:val="28"/>
          <w:szCs w:val="28"/>
        </w:rPr>
        <w:t>收集至新增废气处理设施</w:t>
      </w:r>
      <w:r>
        <w:rPr>
          <w:rFonts w:hint="eastAsia" w:ascii="宋体" w:hAnsi="宋体" w:eastAsia="宋体"/>
          <w:sz w:val="28"/>
          <w:szCs w:val="28"/>
        </w:rPr>
        <w:t>；</w:t>
      </w:r>
    </w:p>
    <w:p>
      <w:pPr>
        <w:spacing w:line="640" w:lineRule="exact"/>
        <w:ind w:left="0" w:firstLine="420" w:firstLineChars="150"/>
        <w:rPr>
          <w:rFonts w:hint="eastAsia" w:ascii="宋体" w:hAnsi="宋体" w:eastAsia="宋体"/>
          <w:sz w:val="28"/>
          <w:szCs w:val="28"/>
        </w:rPr>
      </w:pPr>
      <w:r>
        <w:rPr>
          <w:rFonts w:hint="eastAsia" w:ascii="宋体" w:hAnsi="宋体" w:eastAsia="宋体"/>
          <w:sz w:val="28"/>
          <w:szCs w:val="28"/>
        </w:rPr>
        <w:t>原</w:t>
      </w:r>
      <w:r>
        <w:rPr>
          <w:rFonts w:ascii="宋体" w:hAnsi="宋体" w:eastAsia="宋体"/>
          <w:sz w:val="28"/>
          <w:szCs w:val="28"/>
        </w:rPr>
        <w:t>4#排气筒中</w:t>
      </w:r>
      <w:r>
        <w:rPr>
          <w:rFonts w:hint="eastAsia" w:ascii="宋体" w:hAnsi="宋体" w:eastAsia="宋体"/>
          <w:sz w:val="28"/>
          <w:szCs w:val="28"/>
        </w:rPr>
        <w:t>有机</w:t>
      </w:r>
      <w:r>
        <w:rPr>
          <w:rFonts w:ascii="宋体" w:hAnsi="宋体" w:eastAsia="宋体"/>
          <w:sz w:val="28"/>
          <w:szCs w:val="28"/>
        </w:rPr>
        <w:t>废气</w:t>
      </w:r>
      <w:r>
        <w:rPr>
          <w:rFonts w:hint="eastAsia" w:ascii="宋体" w:hAnsi="宋体" w:eastAsia="宋体"/>
          <w:sz w:val="28"/>
          <w:szCs w:val="28"/>
        </w:rPr>
        <w:t>经二级冷冻水冷凝、一级水喷淋后</w:t>
      </w:r>
      <w:r>
        <w:rPr>
          <w:rFonts w:ascii="宋体" w:hAnsi="宋体" w:eastAsia="宋体"/>
          <w:sz w:val="28"/>
          <w:szCs w:val="28"/>
        </w:rPr>
        <w:t>收集至新增废气处理设施</w:t>
      </w:r>
      <w:r>
        <w:rPr>
          <w:rFonts w:hint="eastAsia" w:ascii="宋体" w:hAnsi="宋体" w:eastAsia="宋体"/>
          <w:sz w:val="28"/>
          <w:szCs w:val="28"/>
        </w:rPr>
        <w:t>；</w:t>
      </w:r>
    </w:p>
    <w:p>
      <w:pPr>
        <w:spacing w:line="640" w:lineRule="exact"/>
        <w:ind w:left="0" w:firstLine="420" w:firstLineChars="150"/>
        <w:rPr>
          <w:rFonts w:hint="eastAsia" w:ascii="宋体" w:hAnsi="宋体" w:eastAsia="宋体"/>
          <w:sz w:val="28"/>
          <w:szCs w:val="28"/>
        </w:rPr>
      </w:pPr>
      <w:r>
        <w:rPr>
          <w:rFonts w:hint="eastAsia" w:ascii="宋体" w:hAnsi="宋体" w:eastAsia="宋体"/>
          <w:sz w:val="28"/>
          <w:szCs w:val="28"/>
        </w:rPr>
        <w:t>原</w:t>
      </w:r>
      <w:r>
        <w:rPr>
          <w:rFonts w:ascii="宋体" w:hAnsi="宋体" w:eastAsia="宋体"/>
          <w:sz w:val="28"/>
          <w:szCs w:val="28"/>
        </w:rPr>
        <w:t>6# 无组织</w:t>
      </w:r>
      <w:r>
        <w:rPr>
          <w:rFonts w:hint="eastAsia" w:ascii="宋体" w:hAnsi="宋体" w:eastAsia="宋体"/>
          <w:sz w:val="28"/>
          <w:szCs w:val="28"/>
        </w:rPr>
        <w:t>废气排气筒中废气经一级碱液喷淋后</w:t>
      </w:r>
      <w:r>
        <w:rPr>
          <w:rFonts w:ascii="宋体" w:hAnsi="宋体" w:eastAsia="宋体"/>
          <w:sz w:val="28"/>
          <w:szCs w:val="28"/>
        </w:rPr>
        <w:t>收集至新增废气处理设施；</w:t>
      </w:r>
    </w:p>
    <w:p>
      <w:pPr>
        <w:spacing w:line="640" w:lineRule="exact"/>
        <w:ind w:left="0" w:firstLine="420" w:firstLineChars="150"/>
        <w:rPr>
          <w:rFonts w:hint="eastAsia" w:ascii="宋体" w:hAnsi="宋体" w:eastAsia="宋体"/>
          <w:sz w:val="28"/>
          <w:szCs w:val="28"/>
        </w:rPr>
      </w:pPr>
      <w:r>
        <w:rPr>
          <w:rFonts w:hint="eastAsia" w:ascii="宋体" w:hAnsi="宋体" w:eastAsia="宋体"/>
          <w:sz w:val="28"/>
          <w:szCs w:val="28"/>
        </w:rPr>
        <w:t>为保证生产系统和回收系统的安全隔开，原排放口在进系统前的总管上安装阻火器并设置一路旁通，旁路上利用原有活性炭吸附装置。在遇紧急情况下或设备检修时，关闭系统主风管阀门，开启旁路阀门，废气通过旁路管道经过活性炭吸附箱吸附后洁净排放。</w:t>
      </w:r>
    </w:p>
    <w:p>
      <w:pPr>
        <w:spacing w:line="640" w:lineRule="exact"/>
        <w:ind w:left="0" w:firstLine="420" w:firstLineChars="150"/>
        <w:rPr>
          <w:rFonts w:hint="eastAsia" w:ascii="宋体" w:hAnsi="宋体" w:eastAsia="宋体"/>
          <w:sz w:val="28"/>
          <w:szCs w:val="28"/>
        </w:rPr>
      </w:pPr>
      <w:r>
        <w:rPr>
          <w:rFonts w:ascii="宋体" w:hAnsi="宋体" w:eastAsia="宋体"/>
          <w:sz w:val="28"/>
          <w:szCs w:val="28"/>
        </w:rPr>
        <w:t>将原2#、3#、4#</w:t>
      </w:r>
      <w:r>
        <w:rPr>
          <w:rFonts w:hint="eastAsia" w:ascii="宋体" w:hAnsi="宋体" w:eastAsia="宋体"/>
          <w:sz w:val="28"/>
          <w:szCs w:val="28"/>
        </w:rPr>
        <w:t>、6#</w:t>
      </w:r>
      <w:r>
        <w:rPr>
          <w:rFonts w:ascii="宋体" w:hAnsi="宋体" w:eastAsia="宋体"/>
          <w:sz w:val="28"/>
          <w:szCs w:val="28"/>
        </w:rPr>
        <w:t>中排气筒废气经过集气系统收集后进入预混箱,废气在预混箱内混合后通过主管道先进入预处理系统中三级洗涤塔，去除可能夹带的粉尘、酸碱性气体、杂质、水溶性的物质。为了保证后端的吸附载体的使用性能和使用寿命，经过洗涤后的废气进入除雾器除湿，过滤器过滤后进入HMR处理系统</w:t>
      </w:r>
      <w:r>
        <w:rPr>
          <w:rFonts w:hint="eastAsia" w:ascii="宋体" w:hAnsi="宋体" w:eastAsia="宋体"/>
          <w:sz w:val="28"/>
          <w:szCs w:val="28"/>
        </w:rPr>
        <w:t>；废气中的VOCs组分被吸附在HMR的吸附载体上，而干净达标的空气则被分离后排放出去。吸附解析方式采用三箱体串并联组合，交替吸脱附的模式。A、B箱体串联成二级吸附，A箱作为一级吸附箱，B箱作为二级吸附箱。废气经过A箱吸附后进入B箱再次吸附后排放。C箱体进行解析和干燥工作。当A箱吸附饱和后，B箱切换成一级吸附箱，脱附完成的C箱切换成二级吸附箱（确保排放限值达标），A箱体进行解析和干燥工作。运行时循环交替，共用一套管路系统。定时切换，确保进行脱附作业时另外两箱进行正常吸附作业，避免进行脱附时废气无法正常处理,废气经吸附后由排气筒排放。解析操作时，进气阀和排气阀关闭，蒸汽气缸阀门打开，饱和水蒸汽通入对吸附达饱和值的活性炭纤维进行解析，解吸下来的有机溶剂、水气液混合物进入冷凝器中用循环水进行冷却。冷凝下来的液相混合物中由于会夹带一些不凝气体，因此冷凝下来的气液相混合物经分离器进行充分的气、液分离后，液相物质进行进一步油水分离，有机溶剂输送至溶剂储槽进行回收，该水相物质排入污水处理池。从油水分离器中分离的气相不凝气和储槽挥发的气体中夹带了一定量的有机物，将这部分气体引入排放总管，通过风机引入吸附回收装置进行循环吸附回收。解析完成之后的吸附箱体由于具有较高的温度和湿度，不利于吸附过程，因此在脱附完成后通过高压风机引入新鲜空气对活性碳纤维进行干燥（吹扫、降温），在对活性碳纤维层进行降温的同时也将残留的一部分水汽分子带走，从而保证活性碳纤维的最佳吸附状态。经干燥后的吸附箱体自动切换到下一个吸附过程。以上过程均由PLC程序全自动控制，自动切换、交替进行吸附、解吸和干燥三个工艺过程的操作，脱附时间可依照实际废气排放量情况进行手动修改调整，整个流程实现自动运行。</w:t>
      </w:r>
    </w:p>
    <w:p>
      <w:pPr>
        <w:numPr>
          <w:ilvl w:val="1"/>
          <w:numId w:val="3"/>
        </w:numPr>
        <w:spacing w:line="640" w:lineRule="exact"/>
        <w:rPr>
          <w:rFonts w:hint="eastAsia" w:ascii="宋体" w:hAnsi="宋体" w:eastAsia="宋体"/>
          <w:sz w:val="28"/>
          <w:szCs w:val="28"/>
        </w:rPr>
      </w:pPr>
      <w:r>
        <w:rPr>
          <w:rFonts w:hint="eastAsia" w:ascii="宋体" w:hAnsi="宋体" w:eastAsia="宋体"/>
          <w:sz w:val="28"/>
          <w:szCs w:val="28"/>
        </w:rPr>
        <w:t>技术来源：</w:t>
      </w:r>
    </w:p>
    <w:p>
      <w:pPr>
        <w:spacing w:line="640" w:lineRule="exact"/>
        <w:ind w:left="0" w:firstLine="0"/>
        <w:rPr>
          <w:rFonts w:hint="eastAsia" w:ascii="宋体" w:hAnsi="宋体" w:eastAsia="宋体"/>
          <w:sz w:val="28"/>
          <w:szCs w:val="28"/>
        </w:rPr>
      </w:pPr>
      <w:r>
        <w:rPr>
          <w:rFonts w:hint="eastAsia" w:eastAsia="宋体"/>
          <w:sz w:val="28"/>
          <w:szCs w:val="28"/>
        </w:rPr>
        <w:t xml:space="preserve">   </w:t>
      </w:r>
      <w:r>
        <w:rPr>
          <w:rFonts w:hint="eastAsia" w:ascii="宋体" w:hAnsi="宋体" w:eastAsia="宋体"/>
          <w:sz w:val="28"/>
          <w:szCs w:val="28"/>
        </w:rPr>
        <w:t xml:space="preserve">本项目技术来自 </w:t>
      </w:r>
      <w:r>
        <w:rPr>
          <w:rFonts w:ascii="宋体" w:hAnsi="宋体" w:eastAsia="宋体"/>
          <w:sz w:val="28"/>
          <w:szCs w:val="28"/>
        </w:rPr>
        <w:t>海乐尔科技集团（美国）有限公司</w:t>
      </w:r>
      <w:r>
        <w:rPr>
          <w:rFonts w:hint="eastAsia" w:ascii="宋体" w:hAnsi="宋体" w:eastAsia="宋体"/>
          <w:sz w:val="28"/>
          <w:szCs w:val="28"/>
        </w:rPr>
        <w:t>，该公司</w:t>
      </w:r>
      <w:r>
        <w:rPr>
          <w:rFonts w:ascii="宋体" w:hAnsi="宋体" w:eastAsia="宋体"/>
          <w:sz w:val="28"/>
          <w:szCs w:val="28"/>
        </w:rPr>
        <w:t>是横跨化工、能源贸易、矿产开发、环保设备、环保药剂、环境治理服务等多个行业的大型集团公司。海乐尔科技集团（美国）有限公司是海乐尔集团海外重要的生产基地，是全球领先的VOCs废气处理设备及环保药剂生产供应商，危险废弃物处理技术和解决方案提供商。</w:t>
      </w:r>
      <w:r>
        <w:rPr>
          <w:rFonts w:hint="eastAsia" w:ascii="宋体" w:hAnsi="宋体" w:eastAsia="宋体"/>
          <w:sz w:val="28"/>
          <w:szCs w:val="28"/>
        </w:rPr>
        <w:t>HUC废气治理系统是我司引进的美国先进的VOC治理技术，并根据中国国情作出了多项改进与创新。H</w:t>
      </w:r>
      <w:r>
        <w:rPr>
          <w:rFonts w:hint="eastAsia" w:ascii="宋体" w:hAnsi="宋体" w:eastAsia="宋体"/>
          <w:color w:val="000000"/>
          <w:sz w:val="28"/>
          <w:szCs w:val="28"/>
        </w:rPr>
        <w:t>UC系统主要包括HMR（高倍浓缩）和PTR（后处理）两大模块。其中HMR是利用优质的活性炭纤维对有机废气进行吸附和脱附，完成浓缩的过程。PTR是对脱附后的气体用两级板式换热器</w:t>
      </w:r>
      <w:r>
        <w:rPr>
          <w:rFonts w:ascii="宋体" w:hAnsi="宋体" w:eastAsia="宋体"/>
          <w:color w:val="000000"/>
          <w:sz w:val="28"/>
          <w:szCs w:val="28"/>
        </w:rPr>
        <w:t>冷凝回收的工艺</w:t>
      </w:r>
      <w:r>
        <w:rPr>
          <w:rFonts w:hint="eastAsia" w:ascii="宋体" w:hAnsi="宋体" w:eastAsia="宋体"/>
          <w:color w:val="000000"/>
          <w:sz w:val="28"/>
          <w:szCs w:val="28"/>
        </w:rPr>
        <w:t>。HUC适用的</w:t>
      </w:r>
      <w:r>
        <w:rPr>
          <w:rFonts w:hint="eastAsia" w:ascii="宋体" w:hAnsi="宋体" w:eastAsia="宋体"/>
          <w:sz w:val="28"/>
          <w:szCs w:val="28"/>
        </w:rPr>
        <w:t>范围和条件如下：</w:t>
      </w:r>
    </w:p>
    <w:tbl>
      <w:tblPr>
        <w:tblStyle w:val="6"/>
        <w:tblW w:w="9356" w:type="dxa"/>
        <w:tblInd w:w="-459"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969"/>
        <w:gridCol w:w="1985"/>
        <w:gridCol w:w="992"/>
        <w:gridCol w:w="992"/>
        <w:gridCol w:w="1418"/>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52" w:hRule="atLeast"/>
        </w:trPr>
        <w:tc>
          <w:tcPr>
            <w:tcW w:w="3969" w:type="dxa"/>
            <w:vAlign w:val="center"/>
          </w:tcPr>
          <w:p>
            <w:pPr>
              <w:jc w:val="center"/>
              <w:rPr>
                <w:rFonts w:ascii="宋体" w:hAnsi="宋体" w:cs="宋体"/>
                <w:bCs/>
                <w:caps/>
                <w:szCs w:val="21"/>
                <w:lang w:bidi="ar"/>
              </w:rPr>
            </w:pPr>
            <w:r>
              <w:rPr>
                <w:rFonts w:hint="eastAsia" w:ascii="宋体" w:hAnsi="宋体" w:cs="宋体"/>
                <w:bCs/>
                <w:caps/>
                <w:szCs w:val="21"/>
                <w:lang w:bidi="ar"/>
              </w:rPr>
              <w:t>控制的主要污染物</w:t>
            </w:r>
          </w:p>
        </w:tc>
        <w:tc>
          <w:tcPr>
            <w:tcW w:w="1985" w:type="dxa"/>
            <w:vAlign w:val="center"/>
          </w:tcPr>
          <w:p>
            <w:pPr>
              <w:jc w:val="center"/>
              <w:rPr>
                <w:rFonts w:ascii="宋体" w:hAnsi="宋体" w:cs="宋体"/>
                <w:bCs/>
                <w:caps/>
                <w:szCs w:val="21"/>
                <w:lang w:bidi="ar"/>
              </w:rPr>
            </w:pPr>
            <w:r>
              <w:rPr>
                <w:rFonts w:hint="eastAsia" w:ascii="宋体" w:hAnsi="宋体" w:cs="宋体"/>
                <w:bCs/>
                <w:caps/>
                <w:szCs w:val="21"/>
                <w:lang w:bidi="ar"/>
              </w:rPr>
              <w:t>浓度范围</w:t>
            </w:r>
          </w:p>
        </w:tc>
        <w:tc>
          <w:tcPr>
            <w:tcW w:w="992" w:type="dxa"/>
            <w:vAlign w:val="center"/>
          </w:tcPr>
          <w:p>
            <w:pPr>
              <w:jc w:val="center"/>
              <w:rPr>
                <w:rFonts w:ascii="宋体" w:hAnsi="宋体" w:cs="宋体"/>
                <w:bCs/>
                <w:caps/>
                <w:szCs w:val="21"/>
                <w:lang w:bidi="ar"/>
              </w:rPr>
            </w:pPr>
            <w:r>
              <w:rPr>
                <w:rFonts w:hint="eastAsia" w:ascii="宋体" w:hAnsi="宋体" w:cs="宋体"/>
                <w:bCs/>
                <w:caps/>
                <w:szCs w:val="21"/>
                <w:lang w:bidi="ar"/>
              </w:rPr>
              <w:t>烟温</w:t>
            </w:r>
          </w:p>
        </w:tc>
        <w:tc>
          <w:tcPr>
            <w:tcW w:w="992" w:type="dxa"/>
            <w:vAlign w:val="center"/>
          </w:tcPr>
          <w:p>
            <w:pPr>
              <w:jc w:val="center"/>
              <w:rPr>
                <w:rFonts w:ascii="宋体" w:hAnsi="宋体" w:cs="宋体"/>
                <w:bCs/>
                <w:caps/>
                <w:szCs w:val="21"/>
                <w:lang w:bidi="ar"/>
              </w:rPr>
            </w:pPr>
            <w:r>
              <w:rPr>
                <w:rFonts w:hint="eastAsia" w:ascii="宋体" w:hAnsi="宋体" w:cs="宋体"/>
                <w:bCs/>
                <w:caps/>
                <w:szCs w:val="21"/>
                <w:lang w:bidi="ar"/>
              </w:rPr>
              <w:t>湿度</w:t>
            </w:r>
          </w:p>
        </w:tc>
        <w:tc>
          <w:tcPr>
            <w:tcW w:w="1418" w:type="dxa"/>
            <w:vAlign w:val="center"/>
          </w:tcPr>
          <w:p>
            <w:pPr>
              <w:jc w:val="center"/>
              <w:rPr>
                <w:rFonts w:ascii="宋体" w:hAnsi="宋体" w:cs="宋体"/>
                <w:bCs/>
                <w:caps/>
                <w:szCs w:val="21"/>
                <w:lang w:bidi="ar"/>
              </w:rPr>
            </w:pPr>
            <w:r>
              <w:rPr>
                <w:rFonts w:hint="eastAsia" w:ascii="宋体" w:hAnsi="宋体" w:cs="宋体"/>
                <w:bCs/>
                <w:caps/>
                <w:szCs w:val="21"/>
                <w:lang w:bidi="ar"/>
              </w:rPr>
              <w:t>颗粒物</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39" w:hRule="atLeast"/>
        </w:trPr>
        <w:tc>
          <w:tcPr>
            <w:tcW w:w="3969" w:type="dxa"/>
            <w:vAlign w:val="center"/>
          </w:tcPr>
          <w:p>
            <w:pPr>
              <w:spacing w:line="320" w:lineRule="exact"/>
              <w:ind w:left="0" w:firstLine="0"/>
              <w:rPr>
                <w:rFonts w:ascii="宋体" w:hAnsi="宋体"/>
                <w:bCs/>
                <w:color w:val="000000"/>
                <w:szCs w:val="21"/>
              </w:rPr>
            </w:pPr>
            <w:r>
              <w:rPr>
                <w:rFonts w:hint="eastAsia" w:ascii="宋体" w:hAnsi="宋体"/>
                <w:bCs/>
                <w:color w:val="000000"/>
                <w:szCs w:val="21"/>
              </w:rPr>
              <w:t>芳香烃类、酮类、酚类，酯类、醛类、醚类、醇类</w:t>
            </w:r>
            <w:r>
              <w:rPr>
                <w:rFonts w:ascii="宋体" w:hAnsi="宋体"/>
                <w:bCs/>
                <w:color w:val="000000"/>
                <w:szCs w:val="21"/>
              </w:rPr>
              <w:t>等</w:t>
            </w:r>
            <w:r>
              <w:rPr>
                <w:rFonts w:hint="eastAsia" w:ascii="宋体" w:hAnsi="宋体"/>
                <w:bCs/>
                <w:color w:val="000000"/>
                <w:szCs w:val="21"/>
              </w:rPr>
              <w:t>非极性物质，对环状有机物吸附效果佳</w:t>
            </w:r>
          </w:p>
        </w:tc>
        <w:tc>
          <w:tcPr>
            <w:tcW w:w="1985" w:type="dxa"/>
            <w:vAlign w:val="center"/>
          </w:tcPr>
          <w:p>
            <w:pPr>
              <w:spacing w:line="360" w:lineRule="auto"/>
              <w:jc w:val="center"/>
              <w:rPr>
                <w:rFonts w:ascii="宋体" w:hAnsi="宋体"/>
                <w:color w:val="000000"/>
                <w:szCs w:val="21"/>
              </w:rPr>
            </w:pPr>
            <w:r>
              <w:rPr>
                <w:rFonts w:hint="eastAsia" w:ascii="宋体" w:hAnsi="宋体"/>
                <w:szCs w:val="21"/>
              </w:rPr>
              <w:t>＜3000</w:t>
            </w:r>
            <w:r>
              <w:rPr>
                <w:rFonts w:hint="eastAsia" w:ascii="宋体" w:hAnsi="宋体"/>
                <w:color w:val="000000"/>
                <w:szCs w:val="21"/>
              </w:rPr>
              <w:t xml:space="preserve"> </w:t>
            </w:r>
            <w:r>
              <w:rPr>
                <w:rFonts w:hint="eastAsia" w:ascii="宋体" w:hAnsi="宋体"/>
                <w:szCs w:val="21"/>
              </w:rPr>
              <w:t>mg/ m</w:t>
            </w:r>
            <w:r>
              <w:rPr>
                <w:rFonts w:hint="eastAsia" w:ascii="宋体" w:hAnsi="宋体"/>
                <w:szCs w:val="21"/>
                <w:vertAlign w:val="superscript"/>
              </w:rPr>
              <w:t>3</w:t>
            </w:r>
          </w:p>
        </w:tc>
        <w:tc>
          <w:tcPr>
            <w:tcW w:w="992" w:type="dxa"/>
            <w:vAlign w:val="center"/>
          </w:tcPr>
          <w:p>
            <w:pPr>
              <w:spacing w:line="360" w:lineRule="auto"/>
              <w:jc w:val="center"/>
              <w:rPr>
                <w:rFonts w:ascii="宋体" w:hAnsi="宋体"/>
                <w:color w:val="000000"/>
                <w:szCs w:val="21"/>
              </w:rPr>
            </w:pPr>
            <w:r>
              <w:rPr>
                <w:rFonts w:hint="eastAsia" w:ascii="宋体" w:hAnsi="宋体"/>
                <w:szCs w:val="21"/>
              </w:rPr>
              <w:t>＜4</w:t>
            </w:r>
            <w:r>
              <w:rPr>
                <w:rFonts w:ascii="宋体" w:hAnsi="宋体"/>
                <w:szCs w:val="21"/>
              </w:rPr>
              <w:t>0</w:t>
            </w:r>
            <w:r>
              <w:rPr>
                <w:rFonts w:hint="eastAsia" w:ascii="宋体" w:hAnsi="宋体"/>
                <w:szCs w:val="21"/>
              </w:rPr>
              <w:t>℃</w:t>
            </w:r>
          </w:p>
        </w:tc>
        <w:tc>
          <w:tcPr>
            <w:tcW w:w="992" w:type="dxa"/>
            <w:vAlign w:val="center"/>
          </w:tcPr>
          <w:p>
            <w:pPr>
              <w:spacing w:line="360" w:lineRule="auto"/>
              <w:jc w:val="center"/>
              <w:rPr>
                <w:rFonts w:ascii="宋体" w:hAnsi="宋体"/>
                <w:color w:val="000000"/>
                <w:szCs w:val="21"/>
              </w:rPr>
            </w:pPr>
            <w:r>
              <w:rPr>
                <w:rFonts w:hint="eastAsia" w:ascii="宋体" w:hAnsi="宋体"/>
                <w:color w:val="000000"/>
                <w:szCs w:val="21"/>
              </w:rPr>
              <w:t>＜7</w:t>
            </w:r>
            <w:r>
              <w:rPr>
                <w:rFonts w:ascii="宋体" w:hAnsi="宋体"/>
                <w:color w:val="000000"/>
                <w:szCs w:val="21"/>
              </w:rPr>
              <w:t>0</w:t>
            </w:r>
            <w:r>
              <w:rPr>
                <w:rFonts w:hint="eastAsia" w:ascii="宋体" w:hAnsi="宋体"/>
                <w:color w:val="000000"/>
                <w:szCs w:val="21"/>
              </w:rPr>
              <w:t>%</w:t>
            </w:r>
            <w:r>
              <w:rPr>
                <w:rFonts w:ascii="宋体" w:hAnsi="宋体"/>
                <w:color w:val="000000"/>
                <w:szCs w:val="21"/>
              </w:rPr>
              <w:t>RH</w:t>
            </w:r>
          </w:p>
        </w:tc>
        <w:tc>
          <w:tcPr>
            <w:tcW w:w="1418" w:type="dxa"/>
            <w:vAlign w:val="center"/>
          </w:tcPr>
          <w:p>
            <w:pPr>
              <w:spacing w:line="360" w:lineRule="auto"/>
              <w:jc w:val="center"/>
              <w:rPr>
                <w:rFonts w:ascii="宋体" w:hAnsi="宋体"/>
                <w:color w:val="000000"/>
                <w:szCs w:val="21"/>
              </w:rPr>
            </w:pPr>
            <w:r>
              <w:rPr>
                <w:rFonts w:hint="eastAsia" w:ascii="宋体" w:hAnsi="宋体"/>
                <w:szCs w:val="21"/>
              </w:rPr>
              <w:t>＜1μg</w:t>
            </w:r>
            <w:r>
              <w:rPr>
                <w:rFonts w:ascii="宋体" w:hAnsi="宋体"/>
                <w:szCs w:val="21"/>
              </w:rPr>
              <w:t>/</w:t>
            </w:r>
            <w:r>
              <w:rPr>
                <w:rFonts w:hint="eastAsia" w:ascii="宋体" w:hAnsi="宋体"/>
                <w:szCs w:val="21"/>
              </w:rPr>
              <w:t>m</w:t>
            </w:r>
            <w:r>
              <w:rPr>
                <w:rFonts w:hint="eastAsia" w:ascii="宋体" w:hAnsi="宋体" w:cs="宋体"/>
                <w:szCs w:val="21"/>
              </w:rPr>
              <w:t>³</w:t>
            </w:r>
          </w:p>
        </w:tc>
      </w:tr>
    </w:tbl>
    <w:p>
      <w:pPr>
        <w:ind w:left="0" w:firstLine="0"/>
        <w:rPr>
          <w:rFonts w:hint="eastAsia" w:ascii="宋体" w:hAnsi="宋体" w:eastAsia="宋体"/>
          <w:sz w:val="28"/>
          <w:szCs w:val="28"/>
        </w:rPr>
      </w:pPr>
    </w:p>
    <w:p>
      <w:pPr>
        <w:ind w:left="0" w:firstLine="0"/>
        <w:rPr>
          <w:rFonts w:hint="eastAsia" w:ascii="宋体" w:hAnsi="宋体" w:eastAsia="宋体"/>
          <w:sz w:val="28"/>
          <w:szCs w:val="28"/>
        </w:rPr>
      </w:pPr>
      <w:r>
        <w:rPr>
          <w:rFonts w:hint="eastAsia" w:ascii="宋体" w:hAnsi="宋体" w:eastAsia="宋体"/>
          <w:sz w:val="28"/>
          <w:szCs w:val="28"/>
        </w:rPr>
        <w:t>海乐尔H</w:t>
      </w:r>
      <w:r>
        <w:rPr>
          <w:rFonts w:ascii="宋体" w:hAnsi="宋体" w:eastAsia="宋体"/>
          <w:sz w:val="28"/>
          <w:szCs w:val="28"/>
        </w:rPr>
        <w:t>UC</w:t>
      </w:r>
      <w:r>
        <w:rPr>
          <w:rFonts w:hint="eastAsia" w:ascii="宋体" w:hAnsi="宋体" w:eastAsia="宋体"/>
          <w:sz w:val="28"/>
          <w:szCs w:val="28"/>
        </w:rPr>
        <w:t>废气治理工艺具有以下优点：</w:t>
      </w:r>
    </w:p>
    <w:p>
      <w:pPr>
        <w:numPr>
          <w:ilvl w:val="0"/>
          <w:numId w:val="4"/>
        </w:numPr>
        <w:spacing w:line="640" w:lineRule="exact"/>
        <w:rPr>
          <w:rFonts w:hint="eastAsia" w:ascii="宋体" w:hAnsi="宋体" w:eastAsia="宋体"/>
          <w:sz w:val="28"/>
          <w:szCs w:val="28"/>
        </w:rPr>
      </w:pPr>
      <w:r>
        <w:rPr>
          <w:rFonts w:hint="eastAsia" w:ascii="宋体" w:hAnsi="宋体" w:eastAsia="宋体"/>
          <w:sz w:val="28"/>
          <w:szCs w:val="28"/>
        </w:rPr>
        <w:t>处理</w:t>
      </w:r>
      <w:r>
        <w:rPr>
          <w:rFonts w:ascii="宋体" w:hAnsi="宋体" w:eastAsia="宋体"/>
          <w:sz w:val="28"/>
          <w:szCs w:val="28"/>
        </w:rPr>
        <w:t>效率高</w:t>
      </w:r>
    </w:p>
    <w:p>
      <w:pPr>
        <w:spacing w:line="640" w:lineRule="exact"/>
        <w:ind w:left="0" w:firstLine="420" w:firstLineChars="150"/>
        <w:rPr>
          <w:rFonts w:hint="eastAsia" w:ascii="宋体" w:hAnsi="宋体" w:eastAsia="宋体"/>
          <w:sz w:val="28"/>
          <w:szCs w:val="28"/>
        </w:rPr>
      </w:pPr>
      <w:r>
        <w:rPr>
          <w:rFonts w:ascii="宋体" w:hAnsi="宋体" w:eastAsia="宋体"/>
          <w:sz w:val="28"/>
          <w:szCs w:val="28"/>
        </w:rPr>
        <w:t>VOC</w:t>
      </w:r>
      <w:r>
        <w:rPr>
          <w:rFonts w:hint="eastAsia" w:ascii="宋体" w:hAnsi="宋体" w:eastAsia="宋体"/>
          <w:sz w:val="28"/>
          <w:szCs w:val="28"/>
        </w:rPr>
        <w:t>s</w:t>
      </w:r>
      <w:r>
        <w:rPr>
          <w:rFonts w:ascii="宋体" w:hAnsi="宋体" w:eastAsia="宋体"/>
          <w:sz w:val="28"/>
          <w:szCs w:val="28"/>
        </w:rPr>
        <w:t>去除率最高达到90％以上</w:t>
      </w:r>
      <w:r>
        <w:rPr>
          <w:rFonts w:hint="eastAsia" w:ascii="宋体" w:hAnsi="宋体" w:eastAsia="宋体"/>
          <w:sz w:val="28"/>
          <w:szCs w:val="28"/>
        </w:rPr>
        <w:t>，适用性广，无废水和二次污染，对V</w:t>
      </w:r>
      <w:r>
        <w:rPr>
          <w:rFonts w:ascii="宋体" w:hAnsi="宋体" w:eastAsia="宋体"/>
          <w:sz w:val="28"/>
          <w:szCs w:val="28"/>
        </w:rPr>
        <w:t>OC</w:t>
      </w:r>
      <w:r>
        <w:rPr>
          <w:rFonts w:hint="eastAsia" w:ascii="宋体" w:hAnsi="宋体" w:eastAsia="宋体"/>
          <w:sz w:val="28"/>
          <w:szCs w:val="28"/>
        </w:rPr>
        <w:t>s有良好去除效果。</w:t>
      </w:r>
    </w:p>
    <w:p>
      <w:pPr>
        <w:numPr>
          <w:ilvl w:val="0"/>
          <w:numId w:val="4"/>
        </w:numPr>
        <w:spacing w:line="640" w:lineRule="exact"/>
        <w:rPr>
          <w:rFonts w:ascii="宋体" w:hAnsi="宋体" w:eastAsia="宋体"/>
          <w:sz w:val="28"/>
          <w:szCs w:val="28"/>
        </w:rPr>
      </w:pPr>
      <w:r>
        <w:rPr>
          <w:rFonts w:hint="eastAsia" w:ascii="宋体" w:hAnsi="宋体" w:eastAsia="宋体"/>
          <w:sz w:val="28"/>
          <w:szCs w:val="28"/>
        </w:rPr>
        <w:t>运行</w:t>
      </w:r>
      <w:r>
        <w:rPr>
          <w:rFonts w:ascii="宋体" w:hAnsi="宋体" w:eastAsia="宋体"/>
          <w:sz w:val="28"/>
          <w:szCs w:val="28"/>
        </w:rPr>
        <w:t>成本低</w:t>
      </w:r>
    </w:p>
    <w:p>
      <w:pPr>
        <w:spacing w:line="640" w:lineRule="exact"/>
        <w:ind w:left="0" w:firstLine="420" w:firstLineChars="150"/>
        <w:rPr>
          <w:rFonts w:hint="eastAsia" w:ascii="宋体" w:hAnsi="宋体" w:eastAsia="宋体"/>
          <w:b/>
          <w:bCs/>
          <w:sz w:val="28"/>
          <w:szCs w:val="28"/>
        </w:rPr>
      </w:pPr>
      <w:r>
        <w:rPr>
          <w:rFonts w:ascii="宋体" w:hAnsi="宋体" w:eastAsia="宋体"/>
          <w:sz w:val="28"/>
          <w:szCs w:val="28"/>
        </w:rPr>
        <w:t>HUC</w:t>
      </w:r>
      <w:r>
        <w:rPr>
          <w:rFonts w:hint="eastAsia" w:ascii="宋体" w:hAnsi="宋体" w:eastAsia="宋体"/>
          <w:sz w:val="28"/>
          <w:szCs w:val="28"/>
        </w:rPr>
        <w:t>废气</w:t>
      </w:r>
      <w:r>
        <w:rPr>
          <w:rFonts w:ascii="宋体" w:hAnsi="宋体" w:eastAsia="宋体"/>
          <w:sz w:val="28"/>
          <w:szCs w:val="28"/>
        </w:rPr>
        <w:t>工艺前期一次性投入适中，</w:t>
      </w:r>
      <w:r>
        <w:rPr>
          <w:rFonts w:hint="eastAsia" w:ascii="宋体" w:hAnsi="宋体" w:eastAsia="宋体"/>
          <w:sz w:val="28"/>
          <w:szCs w:val="28"/>
        </w:rPr>
        <w:t>硬件投资低于转轮+</w:t>
      </w:r>
      <w:r>
        <w:rPr>
          <w:rFonts w:ascii="宋体" w:hAnsi="宋体" w:eastAsia="宋体"/>
          <w:sz w:val="28"/>
          <w:szCs w:val="28"/>
        </w:rPr>
        <w:t>RTO,</w:t>
      </w:r>
      <w:r>
        <w:rPr>
          <w:rFonts w:hint="eastAsia" w:ascii="宋体" w:hAnsi="宋体" w:eastAsia="宋体"/>
          <w:sz w:val="28"/>
          <w:szCs w:val="28"/>
        </w:rPr>
        <w:t>运行不需要使用大量的天然气，自动化程度高,维护方便。能够一键启停，可根据生产状况决定设备开关，不受浓度波动影响。</w:t>
      </w:r>
    </w:p>
    <w:p>
      <w:pPr>
        <w:numPr>
          <w:ilvl w:val="0"/>
          <w:numId w:val="4"/>
        </w:numPr>
        <w:spacing w:line="640" w:lineRule="exact"/>
        <w:rPr>
          <w:rFonts w:ascii="宋体" w:hAnsi="宋体" w:eastAsia="宋体"/>
          <w:sz w:val="28"/>
          <w:szCs w:val="28"/>
        </w:rPr>
      </w:pPr>
      <w:r>
        <w:rPr>
          <w:rFonts w:hint="eastAsia" w:ascii="宋体" w:hAnsi="宋体" w:eastAsia="宋体"/>
          <w:sz w:val="28"/>
          <w:szCs w:val="28"/>
        </w:rPr>
        <w:t>安全性高</w:t>
      </w:r>
    </w:p>
    <w:p>
      <w:pPr>
        <w:spacing w:line="640" w:lineRule="exact"/>
        <w:ind w:left="0" w:firstLine="420" w:firstLineChars="150"/>
        <w:rPr>
          <w:rFonts w:hint="eastAsia" w:ascii="宋体" w:hAnsi="宋体" w:eastAsia="宋体" w:cs="宋体"/>
          <w:sz w:val="28"/>
          <w:szCs w:val="28"/>
        </w:rPr>
      </w:pPr>
      <w:r>
        <w:rPr>
          <w:rFonts w:hint="eastAsia" w:ascii="宋体" w:hAnsi="宋体" w:eastAsia="宋体" w:cs="宋体"/>
          <w:sz w:val="28"/>
          <w:szCs w:val="28"/>
        </w:rPr>
        <w:t>治理过程中没有明火，脱附时采用蒸汽脱附，</w:t>
      </w:r>
      <w:r>
        <w:rPr>
          <w:rFonts w:hint="eastAsia" w:ascii="宋体" w:hAnsi="宋体" w:eastAsia="宋体"/>
          <w:sz w:val="28"/>
          <w:szCs w:val="28"/>
        </w:rPr>
        <w:t>用蒸气置换排出空气达到优异的阻燃效果，可以极大的提升浓缩</w:t>
      </w:r>
      <w:r>
        <w:rPr>
          <w:rFonts w:ascii="宋体" w:hAnsi="宋体" w:eastAsia="宋体"/>
          <w:sz w:val="28"/>
          <w:szCs w:val="28"/>
        </w:rPr>
        <w:t>效果，脱附完全，对吸附剂的循环使用提供了关键的技术支持</w:t>
      </w:r>
      <w:r>
        <w:rPr>
          <w:rFonts w:hint="eastAsia" w:ascii="宋体" w:hAnsi="宋体" w:eastAsia="宋体" w:cs="宋体"/>
          <w:sz w:val="28"/>
          <w:szCs w:val="28"/>
        </w:rPr>
        <w:t>，设备整体安全性高。</w:t>
      </w:r>
      <w:r>
        <w:rPr>
          <w:rFonts w:ascii="宋体" w:hAnsi="宋体" w:eastAsia="宋体"/>
          <w:sz w:val="28"/>
          <w:szCs w:val="28"/>
        </w:rPr>
        <w:t>所有电气、仪表、元器件及控制系统均按国家相关标准进行设计、选型，确保在</w:t>
      </w:r>
      <w:r>
        <w:rPr>
          <w:rFonts w:hint="eastAsia" w:ascii="宋体" w:hAnsi="宋体" w:eastAsia="宋体"/>
          <w:sz w:val="28"/>
          <w:szCs w:val="28"/>
        </w:rPr>
        <w:t>现场工作环境</w:t>
      </w:r>
      <w:r>
        <w:rPr>
          <w:rFonts w:ascii="宋体" w:hAnsi="宋体" w:eastAsia="宋体"/>
          <w:sz w:val="28"/>
          <w:szCs w:val="28"/>
        </w:rPr>
        <w:t>下安全运行</w:t>
      </w:r>
      <w:r>
        <w:rPr>
          <w:rFonts w:hint="eastAsia" w:ascii="宋体" w:hAnsi="宋体" w:eastAsia="宋体"/>
          <w:sz w:val="28"/>
          <w:szCs w:val="28"/>
        </w:rPr>
        <w:t xml:space="preserve">。 </w:t>
      </w:r>
      <w:r>
        <w:rPr>
          <w:rFonts w:ascii="宋体" w:hAnsi="宋体" w:eastAsia="宋体"/>
          <w:sz w:val="28"/>
          <w:szCs w:val="28"/>
        </w:rPr>
        <w:t>主体设备全部采用</w:t>
      </w:r>
      <w:r>
        <w:rPr>
          <w:rFonts w:hint="eastAsia" w:ascii="宋体" w:hAnsi="宋体" w:eastAsia="宋体"/>
          <w:sz w:val="28"/>
          <w:szCs w:val="28"/>
        </w:rPr>
        <w:t>S</w:t>
      </w:r>
      <w:r>
        <w:rPr>
          <w:rFonts w:ascii="宋体" w:hAnsi="宋体" w:eastAsia="宋体"/>
          <w:sz w:val="28"/>
          <w:szCs w:val="28"/>
        </w:rPr>
        <w:t>US304</w:t>
      </w:r>
      <w:r>
        <w:rPr>
          <w:rFonts w:hint="eastAsia" w:ascii="宋体" w:hAnsi="宋体" w:eastAsia="宋体"/>
          <w:sz w:val="28"/>
          <w:szCs w:val="28"/>
        </w:rPr>
        <w:t>不锈钢材质</w:t>
      </w:r>
      <w:r>
        <w:rPr>
          <w:rFonts w:ascii="宋体" w:hAnsi="宋体" w:eastAsia="宋体"/>
          <w:sz w:val="28"/>
          <w:szCs w:val="28"/>
        </w:rPr>
        <w:t>，设备使用寿命达10年以上。</w:t>
      </w:r>
      <w:r>
        <w:rPr>
          <w:rFonts w:hint="eastAsia" w:ascii="宋体" w:hAnsi="宋体" w:eastAsia="宋体"/>
          <w:sz w:val="28"/>
          <w:szCs w:val="28"/>
        </w:rPr>
        <w:t>吸附箱内设置吸附温升检测装置，在控制面板显示吸附温度，可设置温升报警，并有紧急处理措施</w:t>
      </w:r>
      <w:r>
        <w:rPr>
          <w:rFonts w:ascii="宋体" w:hAnsi="宋体" w:eastAsia="宋体"/>
          <w:sz w:val="28"/>
          <w:szCs w:val="28"/>
        </w:rPr>
        <w:t>；装置内共用接地系统，即工作接地、保护接地、防雷接地、防静电接地连接在同一接地网上，接地电阻小于4Ω</w:t>
      </w:r>
      <w:r>
        <w:rPr>
          <w:rFonts w:hint="eastAsia" w:ascii="宋体" w:hAnsi="宋体" w:eastAsia="宋体"/>
          <w:sz w:val="28"/>
          <w:szCs w:val="28"/>
        </w:rPr>
        <w:t>。</w:t>
      </w:r>
    </w:p>
    <w:p>
      <w:pPr>
        <w:numPr>
          <w:ilvl w:val="0"/>
          <w:numId w:val="4"/>
        </w:numPr>
        <w:spacing w:line="640" w:lineRule="exact"/>
        <w:rPr>
          <w:rFonts w:ascii="宋体" w:hAnsi="宋体" w:eastAsia="宋体"/>
          <w:sz w:val="28"/>
          <w:szCs w:val="28"/>
        </w:rPr>
      </w:pPr>
      <w:r>
        <w:rPr>
          <w:rFonts w:hint="eastAsia" w:ascii="宋体" w:hAnsi="宋体" w:eastAsia="宋体"/>
          <w:sz w:val="28"/>
          <w:szCs w:val="28"/>
        </w:rPr>
        <w:t>高性能吸附材料浓缩倍数高</w:t>
      </w:r>
    </w:p>
    <w:p>
      <w:pPr>
        <w:spacing w:line="640" w:lineRule="exact"/>
        <w:ind w:left="0" w:firstLine="420" w:firstLineChars="150"/>
        <w:rPr>
          <w:rFonts w:hint="eastAsia" w:ascii="宋体" w:hAnsi="宋体" w:eastAsia="宋体"/>
          <w:sz w:val="28"/>
          <w:szCs w:val="28"/>
        </w:rPr>
      </w:pPr>
      <w:r>
        <w:rPr>
          <w:rFonts w:ascii="宋体" w:hAnsi="宋体" w:eastAsia="宋体"/>
          <w:sz w:val="28"/>
          <w:szCs w:val="28"/>
        </w:rPr>
        <w:t>A</w:t>
      </w:r>
      <w:r>
        <w:rPr>
          <w:rFonts w:hint="eastAsia" w:ascii="宋体" w:hAnsi="宋体" w:eastAsia="宋体"/>
          <w:sz w:val="28"/>
          <w:szCs w:val="28"/>
        </w:rPr>
        <w:t>CF活性炭纤维美国总公司进口，先进的碳纤维制造工艺，根据贵司废气组分进行活化，是活性炭纤维孔径适用于组分直径，使吸附效率达到最大。针对不同废气性质，对活性炭纤维进行改性处理，改变活性炭纤维的表面官能团属性，调整ACF极性，实现ACF对不同分子的吸附需要。特有的催化改性ACF，有效提升吸脱附能力。吸附材料优异的吸脱附性能从而做到3</w:t>
      </w:r>
      <w:r>
        <w:rPr>
          <w:rFonts w:ascii="宋体" w:hAnsi="宋体" w:eastAsia="宋体"/>
          <w:sz w:val="28"/>
          <w:szCs w:val="28"/>
        </w:rPr>
        <w:t>00-500</w:t>
      </w:r>
      <w:r>
        <w:rPr>
          <w:rFonts w:hint="eastAsia" w:ascii="宋体" w:hAnsi="宋体" w:eastAsia="宋体"/>
          <w:sz w:val="28"/>
          <w:szCs w:val="28"/>
        </w:rPr>
        <w:t>倍浓缩。</w:t>
      </w:r>
    </w:p>
    <w:p>
      <w:pPr>
        <w:numPr>
          <w:ilvl w:val="0"/>
          <w:numId w:val="4"/>
        </w:numPr>
        <w:spacing w:line="640" w:lineRule="exact"/>
        <w:rPr>
          <w:rFonts w:hint="eastAsia" w:ascii="宋体" w:hAnsi="宋体" w:eastAsia="宋体"/>
          <w:sz w:val="28"/>
          <w:szCs w:val="28"/>
        </w:rPr>
      </w:pPr>
      <w:r>
        <w:rPr>
          <w:rFonts w:ascii="宋体" w:hAnsi="宋体" w:eastAsia="宋体"/>
          <w:sz w:val="28"/>
          <w:szCs w:val="28"/>
        </w:rPr>
        <w:t>自动化程度高</w:t>
      </w:r>
    </w:p>
    <w:p>
      <w:pPr>
        <w:spacing w:line="640" w:lineRule="exact"/>
        <w:ind w:left="0" w:firstLine="0"/>
        <w:rPr>
          <w:rFonts w:ascii="宋体" w:hAnsi="宋体" w:eastAsia="宋体"/>
          <w:sz w:val="28"/>
          <w:szCs w:val="28"/>
        </w:rPr>
      </w:pPr>
      <w:r>
        <w:rPr>
          <w:rFonts w:hint="eastAsia" w:ascii="宋体" w:hAnsi="宋体" w:eastAsia="宋体"/>
          <w:sz w:val="28"/>
          <w:szCs w:val="28"/>
        </w:rPr>
        <w:t>①系统实现一键启动，一键停机，控制柜指示灯分三排显示设备故障、运行、停机。可</w:t>
      </w:r>
      <w:r>
        <w:rPr>
          <w:rFonts w:ascii="宋体" w:hAnsi="宋体" w:eastAsia="宋体"/>
          <w:sz w:val="28"/>
          <w:szCs w:val="28"/>
        </w:rPr>
        <w:t>无人值守、全自动运行；</w:t>
      </w:r>
    </w:p>
    <w:p>
      <w:pPr>
        <w:spacing w:line="640" w:lineRule="exact"/>
        <w:ind w:left="0" w:firstLine="0"/>
        <w:rPr>
          <w:rFonts w:ascii="宋体" w:hAnsi="宋体" w:eastAsia="宋体"/>
          <w:sz w:val="28"/>
          <w:szCs w:val="28"/>
        </w:rPr>
      </w:pPr>
      <w:r>
        <w:rPr>
          <w:rFonts w:hint="eastAsia" w:ascii="宋体" w:hAnsi="宋体" w:eastAsia="宋体" w:cs="宋体"/>
          <w:sz w:val="28"/>
          <w:szCs w:val="28"/>
        </w:rPr>
        <w:t>②</w:t>
      </w:r>
      <w:r>
        <w:rPr>
          <w:rFonts w:ascii="宋体" w:hAnsi="宋体" w:eastAsia="宋体"/>
          <w:sz w:val="28"/>
          <w:szCs w:val="28"/>
        </w:rPr>
        <w:t>实时测量装置压力及温度信号，具有装置压力、温度报警连锁停车功能</w:t>
      </w:r>
    </w:p>
    <w:p>
      <w:pPr>
        <w:spacing w:line="640" w:lineRule="exact"/>
        <w:ind w:left="0" w:firstLine="0"/>
        <w:rPr>
          <w:rFonts w:ascii="宋体" w:hAnsi="宋体" w:eastAsia="宋体"/>
          <w:sz w:val="28"/>
          <w:szCs w:val="28"/>
        </w:rPr>
      </w:pPr>
      <w:r>
        <w:rPr>
          <w:rFonts w:hint="eastAsia" w:ascii="宋体" w:hAnsi="宋体" w:eastAsia="宋体" w:cs="宋体"/>
          <w:sz w:val="28"/>
          <w:szCs w:val="28"/>
        </w:rPr>
        <w:t>③</w:t>
      </w:r>
      <w:r>
        <w:rPr>
          <w:rFonts w:hint="eastAsia" w:ascii="宋体" w:hAnsi="宋体" w:eastAsia="宋体"/>
          <w:sz w:val="28"/>
          <w:szCs w:val="28"/>
        </w:rPr>
        <w:t>主控柜设置主电源开关(带热过载、电磁过载、错相保护功能，带反馈触点，上传PLC系统)，可手动设定主开关，在控制柜面板设置电源指示灯。预留输出通讯接口，方便连接远程监控系统。</w:t>
      </w:r>
    </w:p>
    <w:p>
      <w:pPr>
        <w:spacing w:line="640" w:lineRule="exact"/>
        <w:ind w:left="0" w:firstLine="0"/>
        <w:rPr>
          <w:rFonts w:ascii="宋体" w:hAnsi="宋体" w:eastAsia="宋体"/>
          <w:sz w:val="28"/>
          <w:szCs w:val="28"/>
        </w:rPr>
      </w:pPr>
      <w:r>
        <w:rPr>
          <w:rFonts w:hint="eastAsia" w:ascii="宋体" w:hAnsi="宋体" w:eastAsia="宋体" w:cs="宋体"/>
          <w:sz w:val="28"/>
          <w:szCs w:val="28"/>
        </w:rPr>
        <w:t>④</w:t>
      </w:r>
      <w:r>
        <w:rPr>
          <w:rFonts w:hint="eastAsia" w:ascii="宋体" w:hAnsi="宋体" w:eastAsia="宋体"/>
          <w:sz w:val="28"/>
          <w:szCs w:val="28"/>
        </w:rPr>
        <w:t>控制系统采用西门子PLC程序控制，设置机停按钮。采用触摸屏控制面板，具备设备工况监视、流程画面显示、参数显示、报警显示、自动连锁保护、接收数据软件、数据显示、数据传输、数据存储等功能</w:t>
      </w:r>
      <w:r>
        <w:rPr>
          <w:rFonts w:ascii="宋体" w:hAnsi="宋体" w:eastAsia="宋体"/>
          <w:sz w:val="28"/>
          <w:szCs w:val="28"/>
        </w:rPr>
        <w:t>。</w:t>
      </w:r>
    </w:p>
    <w:p>
      <w:pPr>
        <w:spacing w:line="640" w:lineRule="exact"/>
        <w:ind w:left="0" w:firstLine="0"/>
        <w:rPr>
          <w:rFonts w:ascii="宋体" w:hAnsi="宋体" w:eastAsia="宋体"/>
          <w:sz w:val="28"/>
          <w:szCs w:val="28"/>
        </w:rPr>
      </w:pPr>
      <w:r>
        <w:rPr>
          <w:rFonts w:hint="eastAsia" w:ascii="宋体" w:hAnsi="宋体" w:eastAsia="宋体" w:cs="宋体"/>
          <w:sz w:val="28"/>
          <w:szCs w:val="28"/>
        </w:rPr>
        <w:t>⑤</w:t>
      </w:r>
      <w:r>
        <w:rPr>
          <w:rFonts w:ascii="宋体" w:hAnsi="宋体" w:eastAsia="宋体"/>
          <w:sz w:val="28"/>
          <w:szCs w:val="28"/>
        </w:rPr>
        <w:t>装置现场具有紧急停车保护操作；</w:t>
      </w:r>
    </w:p>
    <w:p>
      <w:pPr>
        <w:numPr>
          <w:ilvl w:val="0"/>
          <w:numId w:val="4"/>
        </w:numPr>
        <w:spacing w:line="640" w:lineRule="exact"/>
        <w:rPr>
          <w:rFonts w:ascii="宋体" w:hAnsi="宋体" w:eastAsia="宋体"/>
          <w:sz w:val="28"/>
          <w:szCs w:val="28"/>
        </w:rPr>
      </w:pPr>
      <w:r>
        <w:rPr>
          <w:rFonts w:hint="eastAsia" w:ascii="宋体" w:hAnsi="宋体" w:eastAsia="宋体"/>
          <w:sz w:val="28"/>
          <w:szCs w:val="28"/>
        </w:rPr>
        <w:t>扩展性：</w:t>
      </w:r>
    </w:p>
    <w:p>
      <w:pPr>
        <w:spacing w:line="640" w:lineRule="exact"/>
        <w:ind w:left="0" w:firstLine="280" w:firstLineChars="100"/>
        <w:rPr>
          <w:rFonts w:hint="eastAsia" w:ascii="宋体" w:hAnsi="宋体" w:eastAsia="宋体"/>
          <w:sz w:val="28"/>
          <w:szCs w:val="28"/>
        </w:rPr>
      </w:pPr>
      <w:r>
        <w:rPr>
          <w:rFonts w:hint="eastAsia" w:ascii="宋体" w:hAnsi="宋体" w:eastAsia="宋体"/>
          <w:sz w:val="28"/>
          <w:szCs w:val="28"/>
        </w:rPr>
        <w:t>可扩展，模块化设计，如有新车间运行或者增加风量，可在原设备上扩展处理容量，扩展费用低</w:t>
      </w:r>
    </w:p>
    <w:p>
      <w:pPr>
        <w:numPr>
          <w:ilvl w:val="0"/>
          <w:numId w:val="4"/>
        </w:numPr>
        <w:spacing w:line="640" w:lineRule="exact"/>
        <w:rPr>
          <w:rFonts w:ascii="宋体" w:hAnsi="宋体" w:eastAsia="宋体"/>
          <w:sz w:val="28"/>
          <w:szCs w:val="28"/>
        </w:rPr>
      </w:pPr>
      <w:r>
        <w:rPr>
          <w:rFonts w:hint="eastAsia" w:ascii="宋体" w:hAnsi="宋体" w:eastAsia="宋体"/>
          <w:sz w:val="28"/>
          <w:szCs w:val="28"/>
        </w:rPr>
        <w:t>自动控制方案：</w:t>
      </w:r>
    </w:p>
    <w:p>
      <w:pPr>
        <w:spacing w:line="640" w:lineRule="exact"/>
        <w:ind w:left="0" w:firstLine="280" w:firstLineChars="100"/>
        <w:rPr>
          <w:rFonts w:hint="eastAsia" w:ascii="宋体" w:hAnsi="宋体" w:eastAsia="宋体"/>
          <w:sz w:val="28"/>
          <w:szCs w:val="28"/>
        </w:rPr>
      </w:pPr>
      <w:r>
        <w:rPr>
          <w:rFonts w:ascii="宋体" w:hAnsi="宋体" w:eastAsia="宋体"/>
          <w:sz w:val="28"/>
          <w:szCs w:val="28"/>
        </w:rPr>
        <w:t>控制系统由远传检测仪表、可编程逻辑控制器(PLC)和马达控制中心(MCC)构成，装置的控制是由PLC通过检测仪表测量装置的被控参数，经过PLC的内部算法，输出操作</w:t>
      </w:r>
      <w:r>
        <w:rPr>
          <w:rFonts w:hint="eastAsia" w:ascii="宋体" w:hAnsi="宋体" w:eastAsia="宋体"/>
          <w:sz w:val="28"/>
          <w:szCs w:val="28"/>
        </w:rPr>
        <w:t>启动插板阀启闭切换</w:t>
      </w:r>
      <w:r>
        <w:rPr>
          <w:rFonts w:ascii="宋体" w:hAnsi="宋体" w:eastAsia="宋体"/>
          <w:sz w:val="28"/>
          <w:szCs w:val="28"/>
        </w:rPr>
        <w:t>、电磁阀及电机等设备的开停。PLC作为控制系统的核心部分，放置在控制室内，而现场来的检测信号及送往现场的控制信号则通过仪表接线箱与PLC连接，在PLC控制柜上，可以显示流程画面、参数画面、报警画面、阀门开度趋势画面、参数调节画面等，通过操作调用相应的画面，可以观察装置的运行情况（警报发生、设备停止、设备运转、过程变量的数值等）；如果有报警发生，会有声光报警，随即可以通过报警页面检查报警内容。所有画面的调用、参数的修改及操作指令的发出等是通过触摸屏直接点击来完成。此外，装置现场还有若干温度、压力和液位</w:t>
      </w:r>
      <w:r>
        <w:rPr>
          <w:rFonts w:hint="eastAsia" w:ascii="宋体" w:hAnsi="宋体" w:eastAsia="宋体"/>
          <w:sz w:val="28"/>
          <w:szCs w:val="28"/>
        </w:rPr>
        <w:t>等</w:t>
      </w:r>
      <w:r>
        <w:rPr>
          <w:rFonts w:ascii="宋体" w:hAnsi="宋体" w:eastAsia="宋体"/>
          <w:sz w:val="28"/>
          <w:szCs w:val="28"/>
        </w:rPr>
        <w:t>现场检测仪表。</w:t>
      </w:r>
    </w:p>
    <w:p>
      <w:pPr>
        <w:spacing w:line="640" w:lineRule="exact"/>
        <w:ind w:left="0" w:firstLine="420" w:firstLineChars="150"/>
        <w:rPr>
          <w:rFonts w:ascii="宋体" w:hAnsi="宋体" w:eastAsia="宋体"/>
          <w:sz w:val="28"/>
          <w:szCs w:val="28"/>
        </w:rPr>
      </w:pPr>
      <w:r>
        <w:rPr>
          <w:rFonts w:ascii="宋体" w:hAnsi="宋体" w:eastAsia="宋体"/>
          <w:sz w:val="28"/>
          <w:szCs w:val="28"/>
        </w:rPr>
        <w:t>装置有两种运行方式，即自动方式和手动方式。在自动方式下， PLC系统会根据设定参数自动控制装置运行。在手动方式下，操作人员可以通过开关强制装置运行或停止，而不管当时是否有来气。</w:t>
      </w:r>
    </w:p>
    <w:p>
      <w:pPr>
        <w:numPr>
          <w:ilvl w:val="0"/>
          <w:numId w:val="4"/>
        </w:numPr>
        <w:spacing w:line="640" w:lineRule="exact"/>
        <w:rPr>
          <w:rFonts w:hint="eastAsia" w:ascii="宋体" w:hAnsi="宋体" w:eastAsia="宋体"/>
          <w:sz w:val="28"/>
          <w:szCs w:val="28"/>
        </w:rPr>
      </w:pPr>
      <w:r>
        <w:rPr>
          <w:rFonts w:hint="eastAsia" w:ascii="宋体" w:hAnsi="宋体" w:eastAsia="宋体"/>
          <w:sz w:val="28"/>
          <w:szCs w:val="28"/>
        </w:rPr>
        <w:t>预处理模块：</w:t>
      </w:r>
    </w:p>
    <w:p>
      <w:pPr>
        <w:spacing w:line="640" w:lineRule="exact"/>
        <w:ind w:left="0" w:firstLine="0"/>
        <w:rPr>
          <w:rFonts w:ascii="宋体" w:hAnsi="宋体" w:eastAsia="宋体"/>
          <w:sz w:val="28"/>
          <w:szCs w:val="28"/>
        </w:rPr>
      </w:pPr>
      <w:r>
        <w:rPr>
          <w:rFonts w:hint="eastAsia" w:ascii="宋体" w:hAnsi="宋体" w:eastAsia="宋体"/>
          <w:sz w:val="28"/>
          <w:szCs w:val="28"/>
        </w:rPr>
        <w:t>洗涤塔;温度传感器、磁翻板液位计监控洗涤液温度和液位，具有声光报警。</w:t>
      </w:r>
    </w:p>
    <w:p>
      <w:pPr>
        <w:spacing w:line="640" w:lineRule="exact"/>
        <w:ind w:left="0" w:firstLine="0"/>
        <w:rPr>
          <w:rFonts w:ascii="宋体" w:hAnsi="宋体" w:eastAsia="宋体"/>
          <w:sz w:val="28"/>
          <w:szCs w:val="28"/>
        </w:rPr>
      </w:pPr>
      <w:r>
        <w:rPr>
          <w:rFonts w:hint="eastAsia" w:ascii="宋体" w:hAnsi="宋体" w:eastAsia="宋体"/>
          <w:sz w:val="28"/>
          <w:szCs w:val="28"/>
        </w:rPr>
        <w:t>干式过滤器</w:t>
      </w:r>
      <w:r>
        <w:rPr>
          <w:rFonts w:ascii="宋体" w:hAnsi="宋体" w:eastAsia="宋体"/>
          <w:sz w:val="28"/>
          <w:szCs w:val="28"/>
        </w:rPr>
        <w:t>:</w:t>
      </w:r>
      <w:r>
        <w:rPr>
          <w:rFonts w:hint="eastAsia" w:ascii="宋体" w:hAnsi="宋体" w:eastAsia="宋体"/>
          <w:sz w:val="28"/>
          <w:szCs w:val="28"/>
        </w:rPr>
        <w:t>干式过滤器装差压变送器监控过滤器内压力变化，根据变化值决定过滤器材料是否更换。压差超过设定值时，控制箱会有声光报警。</w:t>
      </w:r>
    </w:p>
    <w:p>
      <w:pPr>
        <w:numPr>
          <w:ilvl w:val="0"/>
          <w:numId w:val="4"/>
        </w:numPr>
        <w:spacing w:line="640" w:lineRule="exact"/>
        <w:rPr>
          <w:rFonts w:ascii="宋体" w:hAnsi="宋体" w:eastAsia="宋体"/>
          <w:sz w:val="28"/>
          <w:szCs w:val="28"/>
        </w:rPr>
      </w:pPr>
      <w:r>
        <w:rPr>
          <w:rFonts w:hint="eastAsia" w:ascii="宋体" w:hAnsi="宋体" w:eastAsia="宋体"/>
          <w:sz w:val="28"/>
          <w:szCs w:val="28"/>
        </w:rPr>
        <w:t>H</w:t>
      </w:r>
      <w:r>
        <w:rPr>
          <w:rFonts w:ascii="宋体" w:hAnsi="宋体" w:eastAsia="宋体"/>
          <w:sz w:val="28"/>
          <w:szCs w:val="28"/>
        </w:rPr>
        <w:t>MR</w:t>
      </w:r>
      <w:r>
        <w:rPr>
          <w:rFonts w:hint="eastAsia" w:ascii="宋体" w:hAnsi="宋体" w:eastAsia="宋体"/>
          <w:sz w:val="28"/>
          <w:szCs w:val="28"/>
        </w:rPr>
        <w:t>模块：</w:t>
      </w:r>
    </w:p>
    <w:p>
      <w:pPr>
        <w:spacing w:line="640" w:lineRule="exact"/>
        <w:ind w:left="0" w:firstLine="420" w:firstLineChars="150"/>
        <w:rPr>
          <w:rFonts w:ascii="宋体" w:hAnsi="宋体" w:eastAsia="宋体"/>
          <w:sz w:val="28"/>
          <w:szCs w:val="28"/>
        </w:rPr>
      </w:pPr>
      <w:r>
        <w:rPr>
          <w:rFonts w:hint="eastAsia" w:ascii="宋体" w:hAnsi="宋体" w:eastAsia="宋体"/>
          <w:sz w:val="28"/>
          <w:szCs w:val="28"/>
        </w:rPr>
        <w:t>箱体内部装温度传感器，监控箱体内部吸附和脱附温度，保证设备安全。当吸附温度超温时，系统自动切换吸附箱体，并对超温箱体采取应急降温措施保证设备安全。吸附温度超过设定值时，控制箱会有声光报警。</w:t>
      </w:r>
    </w:p>
    <w:p>
      <w:pPr>
        <w:spacing w:line="640" w:lineRule="exact"/>
        <w:ind w:left="0" w:firstLine="420" w:firstLineChars="150"/>
        <w:rPr>
          <w:rFonts w:ascii="宋体" w:hAnsi="宋体" w:eastAsia="宋体"/>
          <w:sz w:val="28"/>
          <w:szCs w:val="28"/>
        </w:rPr>
      </w:pPr>
      <w:r>
        <w:rPr>
          <w:rFonts w:hint="eastAsia" w:ascii="宋体" w:hAnsi="宋体" w:eastAsia="宋体"/>
          <w:sz w:val="28"/>
          <w:szCs w:val="28"/>
        </w:rPr>
        <w:t>设备脱附时，传感器监控箱体脱附温度，达到脱附所需温度，保证脱附效果良好。</w:t>
      </w:r>
    </w:p>
    <w:p>
      <w:pPr>
        <w:spacing w:line="640" w:lineRule="exact"/>
        <w:ind w:left="0" w:firstLine="420" w:firstLineChars="150"/>
        <w:rPr>
          <w:rFonts w:ascii="宋体" w:hAnsi="宋体" w:eastAsia="宋体"/>
          <w:sz w:val="28"/>
          <w:szCs w:val="28"/>
        </w:rPr>
      </w:pPr>
      <w:r>
        <w:rPr>
          <w:rFonts w:ascii="宋体" w:hAnsi="宋体" w:eastAsia="宋体"/>
          <w:sz w:val="28"/>
          <w:szCs w:val="28"/>
        </w:rPr>
        <w:t>HMR</w:t>
      </w:r>
      <w:r>
        <w:rPr>
          <w:rFonts w:hint="eastAsia" w:ascii="宋体" w:hAnsi="宋体" w:eastAsia="宋体"/>
          <w:sz w:val="28"/>
          <w:szCs w:val="28"/>
        </w:rPr>
        <w:t>箱体进出口装设差压变送器，监控进出口压差变化。当压差超过设定值时，该吸附箱体进入脱附状态，另一箱体进入吸附状态。</w:t>
      </w:r>
    </w:p>
    <w:p>
      <w:pPr>
        <w:ind w:left="0" w:firstLine="0"/>
      </w:pPr>
      <w:r>
        <w:drawing>
          <wp:inline distT="0" distB="0" distL="114300" distR="114300">
            <wp:extent cx="5542915" cy="4076700"/>
            <wp:effectExtent l="0" t="0" r="635" b="0"/>
            <wp:docPr id="1" name="图片 2" descr="HMR控制逻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HMR控制逻辑"/>
                    <pic:cNvPicPr>
                      <a:picLocks noChangeAspect="1"/>
                    </pic:cNvPicPr>
                  </pic:nvPicPr>
                  <pic:blipFill>
                    <a:blip r:embed="rId6"/>
                    <a:stretch>
                      <a:fillRect/>
                    </a:stretch>
                  </pic:blipFill>
                  <pic:spPr>
                    <a:xfrm>
                      <a:off x="0" y="0"/>
                      <a:ext cx="5542915" cy="4076700"/>
                    </a:xfrm>
                    <a:prstGeom prst="rect">
                      <a:avLst/>
                    </a:prstGeom>
                    <a:noFill/>
                    <a:ln w="9525">
                      <a:noFill/>
                    </a:ln>
                  </pic:spPr>
                </pic:pic>
              </a:graphicData>
            </a:graphic>
          </wp:inline>
        </w:drawing>
      </w:r>
    </w:p>
    <w:p>
      <w:pPr>
        <w:spacing w:line="360" w:lineRule="auto"/>
        <w:rPr>
          <w:rFonts w:hint="eastAsia" w:ascii="Times New Roman" w:hAnsi="Times New Roman"/>
          <w:sz w:val="24"/>
          <w:szCs w:val="24"/>
        </w:rPr>
      </w:pPr>
    </w:p>
    <w:p>
      <w:pPr>
        <w:numPr>
          <w:ilvl w:val="0"/>
          <w:numId w:val="4"/>
        </w:numPr>
        <w:spacing w:line="640" w:lineRule="exact"/>
        <w:rPr>
          <w:rFonts w:ascii="宋体" w:hAnsi="宋体" w:eastAsia="宋体"/>
          <w:sz w:val="28"/>
          <w:szCs w:val="28"/>
        </w:rPr>
      </w:pPr>
      <w:r>
        <w:rPr>
          <w:rFonts w:hint="eastAsia" w:ascii="宋体" w:hAnsi="宋体" w:eastAsia="宋体"/>
          <w:sz w:val="28"/>
          <w:szCs w:val="28"/>
        </w:rPr>
        <w:t>P</w:t>
      </w:r>
      <w:r>
        <w:rPr>
          <w:rFonts w:ascii="宋体" w:hAnsi="宋体" w:eastAsia="宋体"/>
          <w:sz w:val="28"/>
          <w:szCs w:val="28"/>
        </w:rPr>
        <w:t>TR</w:t>
      </w:r>
      <w:r>
        <w:rPr>
          <w:rFonts w:hint="eastAsia" w:ascii="宋体" w:hAnsi="宋体" w:eastAsia="宋体"/>
          <w:sz w:val="28"/>
          <w:szCs w:val="28"/>
        </w:rPr>
        <w:t>后处理模块：</w:t>
      </w:r>
    </w:p>
    <w:p>
      <w:pPr>
        <w:spacing w:line="640" w:lineRule="exact"/>
        <w:ind w:left="0" w:firstLine="280" w:firstLineChars="100"/>
        <w:rPr>
          <w:rFonts w:ascii="宋体" w:hAnsi="宋体" w:eastAsia="宋体"/>
          <w:sz w:val="28"/>
          <w:szCs w:val="28"/>
        </w:rPr>
      </w:pPr>
      <w:r>
        <w:rPr>
          <w:rFonts w:hint="eastAsia" w:ascii="宋体" w:hAnsi="宋体" w:eastAsia="宋体"/>
          <w:sz w:val="28"/>
          <w:szCs w:val="28"/>
        </w:rPr>
        <w:t>脱附时温度传感器监控箱体内脱附温度，保证脱附效果。</w:t>
      </w:r>
    </w:p>
    <w:p>
      <w:pPr>
        <w:spacing w:line="640" w:lineRule="exact"/>
        <w:ind w:left="0" w:firstLine="280" w:firstLineChars="100"/>
        <w:rPr>
          <w:rFonts w:ascii="宋体" w:hAnsi="宋体" w:eastAsia="宋体"/>
          <w:sz w:val="28"/>
          <w:szCs w:val="28"/>
        </w:rPr>
      </w:pPr>
      <w:r>
        <w:rPr>
          <w:rFonts w:hint="eastAsia" w:ascii="宋体" w:hAnsi="宋体" w:eastAsia="宋体"/>
          <w:sz w:val="28"/>
          <w:szCs w:val="28"/>
        </w:rPr>
        <w:t>一级冷凝冷却水、二级冷凝冷冻水装温度和压力传感器，检测温度和压力，达不到所需的温度和压力则脱附停止，蒸汽进气阀门关闭。</w:t>
      </w:r>
    </w:p>
    <w:p>
      <w:pPr>
        <w:spacing w:line="640" w:lineRule="exact"/>
        <w:ind w:left="0" w:firstLine="420" w:firstLineChars="150"/>
        <w:rPr>
          <w:rFonts w:hint="eastAsia" w:ascii="宋体" w:hAnsi="宋体" w:eastAsia="宋体"/>
          <w:sz w:val="28"/>
          <w:szCs w:val="28"/>
        </w:rPr>
      </w:pPr>
      <w:r>
        <w:rPr>
          <w:rFonts w:hint="eastAsia" w:ascii="宋体" w:hAnsi="宋体" w:eastAsia="宋体"/>
          <w:sz w:val="28"/>
          <w:szCs w:val="28"/>
        </w:rPr>
        <w:t>一级冷凝、二级冷凝的脱附液和脱附气装设温度传感器，检测脱附液和脱附气的温度，保证达到脱附效果，确保系统安全。</w:t>
      </w:r>
    </w:p>
    <w:p>
      <w:pPr>
        <w:ind w:left="0" w:firstLine="0"/>
        <w:rPr>
          <w:rFonts w:hint="eastAsia"/>
        </w:rPr>
      </w:pPr>
      <w:r>
        <w:drawing>
          <wp:inline distT="0" distB="0" distL="114300" distR="114300">
            <wp:extent cx="5477510" cy="5362575"/>
            <wp:effectExtent l="0" t="0" r="8890" b="9525"/>
            <wp:docPr id="2" name="图片 3" descr="PTR逻辑控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PTR逻辑控制"/>
                    <pic:cNvPicPr>
                      <a:picLocks noChangeAspect="1"/>
                    </pic:cNvPicPr>
                  </pic:nvPicPr>
                  <pic:blipFill>
                    <a:blip r:embed="rId7"/>
                    <a:stretch>
                      <a:fillRect/>
                    </a:stretch>
                  </pic:blipFill>
                  <pic:spPr>
                    <a:xfrm>
                      <a:off x="0" y="0"/>
                      <a:ext cx="5477510" cy="5362575"/>
                    </a:xfrm>
                    <a:prstGeom prst="rect">
                      <a:avLst/>
                    </a:prstGeom>
                    <a:noFill/>
                    <a:ln w="9525">
                      <a:noFill/>
                    </a:ln>
                  </pic:spPr>
                </pic:pic>
              </a:graphicData>
            </a:graphic>
          </wp:inline>
        </w:drawing>
      </w:r>
    </w:p>
    <w:p>
      <w:pPr>
        <w:spacing w:line="640" w:lineRule="exact"/>
        <w:ind w:left="0" w:firstLine="0"/>
        <w:rPr>
          <w:rFonts w:hint="eastAsia" w:ascii="宋体" w:hAnsi="宋体" w:eastAsia="宋体"/>
          <w:sz w:val="28"/>
          <w:szCs w:val="28"/>
        </w:rPr>
      </w:pPr>
      <w:r>
        <w:rPr>
          <w:rFonts w:hint="eastAsia" w:ascii="宋体" w:hAnsi="宋体" w:eastAsia="宋体"/>
          <w:sz w:val="28"/>
          <w:szCs w:val="28"/>
        </w:rPr>
        <w:t>二、项目进度</w:t>
      </w:r>
    </w:p>
    <w:p>
      <w:pPr>
        <w:spacing w:line="640" w:lineRule="exact"/>
        <w:ind w:left="700" w:hanging="700" w:hangingChars="250"/>
        <w:rPr>
          <w:rFonts w:hint="eastAsia" w:ascii="宋体" w:hAnsi="宋体" w:eastAsia="宋体"/>
          <w:sz w:val="28"/>
          <w:szCs w:val="28"/>
        </w:rPr>
      </w:pPr>
      <w:r>
        <w:rPr>
          <w:rFonts w:hint="eastAsia" w:ascii="宋体" w:hAnsi="宋体" w:eastAsia="宋体"/>
          <w:sz w:val="28"/>
          <w:szCs w:val="28"/>
        </w:rPr>
        <w:t>2.1. 废气处理设施改造项目2017年10月10 日取得泰兴经济开发区管委会《关于废气处理设施改造项目的审查意见》 。</w:t>
      </w:r>
    </w:p>
    <w:p>
      <w:pPr>
        <w:spacing w:line="640" w:lineRule="exact"/>
        <w:ind w:left="700" w:hanging="700" w:hangingChars="250"/>
        <w:rPr>
          <w:rFonts w:hint="eastAsia" w:ascii="宋体" w:hAnsi="宋体" w:eastAsia="宋体"/>
          <w:sz w:val="28"/>
          <w:szCs w:val="28"/>
        </w:rPr>
      </w:pPr>
      <w:r>
        <w:rPr>
          <w:rFonts w:hint="eastAsia" w:ascii="宋体" w:hAnsi="宋体" w:eastAsia="宋体"/>
          <w:sz w:val="28"/>
          <w:szCs w:val="28"/>
        </w:rPr>
        <w:t>2.2. 2017年10月底取得泰兴市经信委项目备案文件，项目备案代码为2017-321283-26-03-658534。</w:t>
      </w:r>
    </w:p>
    <w:p>
      <w:pPr>
        <w:spacing w:line="640" w:lineRule="exact"/>
        <w:ind w:left="700" w:hanging="700" w:hangingChars="250"/>
        <w:rPr>
          <w:rFonts w:hint="eastAsia" w:ascii="宋体" w:hAnsi="宋体" w:eastAsia="宋体"/>
          <w:sz w:val="28"/>
          <w:szCs w:val="28"/>
        </w:rPr>
      </w:pPr>
      <w:r>
        <w:rPr>
          <w:rFonts w:hint="eastAsia" w:ascii="宋体" w:hAnsi="宋体" w:eastAsia="宋体"/>
          <w:sz w:val="28"/>
          <w:szCs w:val="28"/>
        </w:rPr>
        <w:t>2.3. 2017年10月17日与海乐尔（中国）有限公司签订《VOC废气治理承包合同》和《VOC治理工程技术协议》 ，并要求2018年3月底交付设备。</w:t>
      </w:r>
    </w:p>
    <w:p>
      <w:pPr>
        <w:spacing w:line="640" w:lineRule="exact"/>
        <w:ind w:left="840" w:hanging="840" w:hangingChars="300"/>
        <w:rPr>
          <w:rFonts w:hint="eastAsia" w:ascii="宋体" w:hAnsi="宋体" w:eastAsia="宋体"/>
          <w:sz w:val="28"/>
          <w:szCs w:val="28"/>
        </w:rPr>
      </w:pPr>
      <w:r>
        <w:rPr>
          <w:rFonts w:hint="eastAsia" w:ascii="宋体" w:hAnsi="宋体" w:eastAsia="宋体"/>
          <w:sz w:val="28"/>
          <w:szCs w:val="28"/>
        </w:rPr>
        <w:t>2.4 . 2017年10月31日与南京国环科技股份有限公司签订《关于废气处理设施改造项目环评技术咨询合同》。</w:t>
      </w:r>
    </w:p>
    <w:p>
      <w:pPr>
        <w:spacing w:line="640" w:lineRule="exact"/>
        <w:ind w:left="560" w:hanging="560" w:hangingChars="200"/>
        <w:rPr>
          <w:rFonts w:hint="eastAsia" w:ascii="宋体" w:hAnsi="宋体" w:eastAsia="宋体"/>
          <w:sz w:val="28"/>
          <w:szCs w:val="28"/>
        </w:rPr>
      </w:pPr>
      <w:r>
        <w:rPr>
          <w:rFonts w:hint="eastAsia" w:ascii="宋体" w:hAnsi="宋体" w:eastAsia="宋体"/>
          <w:sz w:val="28"/>
          <w:szCs w:val="28"/>
        </w:rPr>
        <w:t>2.5.  2017年11月2日与江苏泰康安全环境科技有限公司签订《废气处理设施改造项目安全条件和设施综合分析报告》， 2018年2月13日完成专家评审。</w:t>
      </w:r>
    </w:p>
    <w:p>
      <w:pPr>
        <w:spacing w:line="640" w:lineRule="exact"/>
        <w:ind w:left="560" w:hanging="560" w:hangingChars="200"/>
        <w:rPr>
          <w:rFonts w:hint="eastAsia" w:ascii="宋体" w:hAnsi="宋体" w:eastAsia="宋体"/>
          <w:sz w:val="28"/>
          <w:szCs w:val="28"/>
        </w:rPr>
      </w:pPr>
      <w:r>
        <w:rPr>
          <w:rFonts w:hint="eastAsia" w:ascii="宋体" w:hAnsi="宋体" w:eastAsia="宋体"/>
          <w:sz w:val="28"/>
          <w:szCs w:val="28"/>
        </w:rPr>
        <w:t>2.6. 2017年11月8日与常州化工设计院有限公司签订《废气处理设施改造项目安全设计专篇》合同，2018年2月13日完成专家评审。</w:t>
      </w:r>
    </w:p>
    <w:p>
      <w:pPr>
        <w:spacing w:line="640" w:lineRule="exact"/>
        <w:ind w:left="560" w:hanging="560" w:hangingChars="200"/>
        <w:rPr>
          <w:rFonts w:hint="eastAsia" w:ascii="宋体" w:hAnsi="宋体" w:eastAsia="宋体"/>
          <w:sz w:val="28"/>
          <w:szCs w:val="28"/>
        </w:rPr>
      </w:pPr>
      <w:r>
        <w:rPr>
          <w:rFonts w:hint="eastAsia" w:ascii="宋体" w:hAnsi="宋体" w:eastAsia="宋体"/>
          <w:sz w:val="28"/>
          <w:szCs w:val="28"/>
        </w:rPr>
        <w:t>2.7. 2018年3月2日完成《</w:t>
      </w:r>
      <w:r>
        <w:rPr>
          <w:rFonts w:hint="eastAsia" w:ascii="宋体" w:hAnsi="宋体" w:eastAsia="宋体"/>
          <w:vanish/>
          <w:sz w:val="28"/>
          <w:szCs w:val="28"/>
        </w:rPr>
        <w:cr/>
      </w:r>
      <w:r>
        <w:rPr>
          <w:rFonts w:hint="eastAsia" w:ascii="宋体" w:hAnsi="宋体" w:eastAsia="宋体"/>
          <w:sz w:val="28"/>
          <w:szCs w:val="28"/>
        </w:rPr>
        <w:t>建设项目环境影响报告表》的编制，      送行政审批中心窗口审批；3月26日取得批复。</w:t>
      </w:r>
    </w:p>
    <w:p>
      <w:pPr>
        <w:spacing w:line="640" w:lineRule="exact"/>
        <w:ind w:left="560" w:hanging="560" w:hangingChars="200"/>
        <w:rPr>
          <w:rFonts w:hint="eastAsia" w:ascii="宋体" w:hAnsi="宋体" w:eastAsia="宋体"/>
          <w:sz w:val="28"/>
          <w:szCs w:val="28"/>
        </w:rPr>
      </w:pPr>
      <w:r>
        <w:rPr>
          <w:rFonts w:hint="eastAsia" w:ascii="宋体" w:hAnsi="宋体" w:eastAsia="宋体"/>
          <w:sz w:val="28"/>
          <w:szCs w:val="28"/>
        </w:rPr>
        <w:t>2.8. 2018年4月进入全面施工阶段，6月底施工完成。</w:t>
      </w:r>
    </w:p>
    <w:p>
      <w:pPr>
        <w:spacing w:line="640" w:lineRule="exact"/>
        <w:ind w:left="560" w:hanging="560" w:hangingChars="200"/>
        <w:rPr>
          <w:rFonts w:hint="eastAsia" w:ascii="宋体" w:hAnsi="宋体" w:eastAsia="宋体"/>
          <w:b/>
          <w:sz w:val="28"/>
          <w:szCs w:val="28"/>
        </w:rPr>
      </w:pPr>
      <w:r>
        <w:rPr>
          <w:rFonts w:hint="eastAsia" w:ascii="宋体" w:hAnsi="宋体" w:eastAsia="宋体"/>
          <w:sz w:val="28"/>
          <w:szCs w:val="28"/>
        </w:rPr>
        <w:t>2.9.</w:t>
      </w:r>
      <w:r>
        <w:rPr>
          <w:rFonts w:hint="eastAsia" w:ascii="宋体" w:hAnsi="宋体" w:eastAsia="宋体"/>
          <w:b/>
          <w:sz w:val="28"/>
          <w:szCs w:val="28"/>
        </w:rPr>
        <w:t>目前废气处理设施在调试阶段。</w:t>
      </w:r>
    </w:p>
    <w:p>
      <w:pPr>
        <w:spacing w:line="640" w:lineRule="exact"/>
        <w:ind w:left="560" w:hanging="560" w:hangingChars="200"/>
        <w:rPr>
          <w:rFonts w:hint="eastAsia" w:ascii="宋体" w:hAnsi="宋体" w:eastAsia="宋体"/>
          <w:sz w:val="28"/>
          <w:szCs w:val="28"/>
        </w:rPr>
      </w:pPr>
      <w:r>
        <w:rPr>
          <w:rFonts w:hint="eastAsia" w:ascii="宋体" w:hAnsi="宋体" w:eastAsia="宋体"/>
          <w:sz w:val="28"/>
          <w:szCs w:val="28"/>
        </w:rPr>
        <w:t>三、废气处理设施项目工程技术协议和承包合同</w:t>
      </w: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324475" cy="6687820"/>
            <wp:effectExtent l="0" t="0" r="9525" b="17780"/>
            <wp:docPr id="3" name="图片 4" descr="TONTH94)@43L`ST[ZVKQ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TONTH94)@43L`ST[ZVKQC35"/>
                    <pic:cNvPicPr>
                      <a:picLocks noChangeAspect="1"/>
                    </pic:cNvPicPr>
                  </pic:nvPicPr>
                  <pic:blipFill>
                    <a:blip r:embed="rId8"/>
                    <a:stretch>
                      <a:fillRect/>
                    </a:stretch>
                  </pic:blipFill>
                  <pic:spPr>
                    <a:xfrm>
                      <a:off x="0" y="0"/>
                      <a:ext cx="5324475" cy="6687820"/>
                    </a:xfrm>
                    <a:prstGeom prst="rect">
                      <a:avLst/>
                    </a:prstGeom>
                    <a:noFill/>
                    <a:ln w="9525">
                      <a:noFill/>
                    </a:ln>
                  </pic:spPr>
                </pic:pic>
              </a:graphicData>
            </a:graphic>
          </wp:inline>
        </w:drawing>
      </w: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571490" cy="7315835"/>
            <wp:effectExtent l="0" t="0" r="10160" b="18415"/>
            <wp:docPr id="4" name="图片 5" descr="5N@LJSIO%YTGB%9TDKZP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5N@LJSIO%YTGB%9TDKZP991"/>
                    <pic:cNvPicPr>
                      <a:picLocks noChangeAspect="1"/>
                    </pic:cNvPicPr>
                  </pic:nvPicPr>
                  <pic:blipFill>
                    <a:blip r:embed="rId9"/>
                    <a:stretch>
                      <a:fillRect/>
                    </a:stretch>
                  </pic:blipFill>
                  <pic:spPr>
                    <a:xfrm>
                      <a:off x="0" y="0"/>
                      <a:ext cx="5571490" cy="7315835"/>
                    </a:xfrm>
                    <a:prstGeom prst="rect">
                      <a:avLst/>
                    </a:prstGeom>
                    <a:noFill/>
                    <a:ln w="9525">
                      <a:noFill/>
                    </a:ln>
                  </pic:spPr>
                </pic:pic>
              </a:graphicData>
            </a:graphic>
          </wp:inline>
        </w:drawing>
      </w:r>
    </w:p>
    <w:p>
      <w:pPr>
        <w:spacing w:after="0" w:line="640" w:lineRule="exact"/>
        <w:ind w:left="0" w:firstLine="0"/>
        <w:rPr>
          <w:rFonts w:hint="eastAsia" w:ascii="宋体" w:hAnsi="宋体" w:eastAsia="宋体"/>
          <w:sz w:val="28"/>
          <w:szCs w:val="28"/>
        </w:rPr>
      </w:pPr>
    </w:p>
    <w:p>
      <w:pPr>
        <w:spacing w:after="0" w:line="640" w:lineRule="exact"/>
        <w:ind w:left="0" w:firstLine="0"/>
        <w:rPr>
          <w:rFonts w:hint="eastAsia" w:ascii="宋体" w:hAnsi="宋体" w:eastAsia="宋体"/>
          <w:sz w:val="28"/>
          <w:szCs w:val="28"/>
        </w:rPr>
      </w:pP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428615" cy="7466965"/>
            <wp:effectExtent l="0" t="0" r="635" b="635"/>
            <wp:docPr id="5" name="图片 6" descr="%9KT(K8SZ%)MR@4C69C}X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9KT(K8SZ%)MR@4C69C}XNI"/>
                    <pic:cNvPicPr>
                      <a:picLocks noChangeAspect="1"/>
                    </pic:cNvPicPr>
                  </pic:nvPicPr>
                  <pic:blipFill>
                    <a:blip r:embed="rId10"/>
                    <a:stretch>
                      <a:fillRect/>
                    </a:stretch>
                  </pic:blipFill>
                  <pic:spPr>
                    <a:xfrm>
                      <a:off x="0" y="0"/>
                      <a:ext cx="5428615" cy="7466965"/>
                    </a:xfrm>
                    <a:prstGeom prst="rect">
                      <a:avLst/>
                    </a:prstGeom>
                    <a:noFill/>
                    <a:ln w="9525">
                      <a:noFill/>
                    </a:ln>
                  </pic:spPr>
                </pic:pic>
              </a:graphicData>
            </a:graphic>
          </wp:inline>
        </w:drawing>
      </w:r>
    </w:p>
    <w:p>
      <w:pPr>
        <w:spacing w:after="0" w:line="640" w:lineRule="exact"/>
        <w:ind w:left="0" w:firstLine="0"/>
        <w:rPr>
          <w:rFonts w:hint="eastAsia" w:ascii="宋体" w:hAnsi="宋体" w:eastAsia="宋体"/>
          <w:sz w:val="28"/>
          <w:szCs w:val="28"/>
        </w:rPr>
      </w:pPr>
    </w:p>
    <w:p>
      <w:pPr>
        <w:spacing w:after="0" w:line="640" w:lineRule="exact"/>
        <w:ind w:left="0" w:firstLine="0"/>
        <w:rPr>
          <w:rFonts w:hint="eastAsia" w:ascii="宋体" w:hAnsi="宋体" w:eastAsia="宋体"/>
          <w:sz w:val="28"/>
          <w:szCs w:val="28"/>
        </w:rPr>
      </w:pP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675630" cy="7552055"/>
            <wp:effectExtent l="0" t="0" r="1270" b="10795"/>
            <wp:docPr id="6" name="图片 7" descr="GT33LDBS~%{$CY437A(MT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GT33LDBS~%{$CY437A(MTVW"/>
                    <pic:cNvPicPr>
                      <a:picLocks noChangeAspect="1"/>
                    </pic:cNvPicPr>
                  </pic:nvPicPr>
                  <pic:blipFill>
                    <a:blip r:embed="rId11"/>
                    <a:stretch>
                      <a:fillRect/>
                    </a:stretch>
                  </pic:blipFill>
                  <pic:spPr>
                    <a:xfrm>
                      <a:off x="0" y="0"/>
                      <a:ext cx="5675630" cy="7552055"/>
                    </a:xfrm>
                    <a:prstGeom prst="rect">
                      <a:avLst/>
                    </a:prstGeom>
                    <a:noFill/>
                    <a:ln w="9525">
                      <a:noFill/>
                    </a:ln>
                  </pic:spPr>
                </pic:pic>
              </a:graphicData>
            </a:graphic>
          </wp:inline>
        </w:drawing>
      </w:r>
    </w:p>
    <w:p>
      <w:pPr>
        <w:spacing w:after="0" w:line="640" w:lineRule="exact"/>
        <w:ind w:left="0" w:firstLine="0"/>
        <w:rPr>
          <w:rFonts w:hint="eastAsia" w:ascii="宋体" w:hAnsi="宋体" w:eastAsia="宋体"/>
          <w:sz w:val="28"/>
          <w:szCs w:val="28"/>
        </w:rPr>
      </w:pP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590540" cy="7390130"/>
            <wp:effectExtent l="0" t="0" r="10160" b="1270"/>
            <wp:docPr id="7" name="图片 8" descr="I4DZ@{K[1(J`8[Y3Y@%1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4DZ@{K[1(J`8[Y3Y@%1Y~J"/>
                    <pic:cNvPicPr>
                      <a:picLocks noChangeAspect="1"/>
                    </pic:cNvPicPr>
                  </pic:nvPicPr>
                  <pic:blipFill>
                    <a:blip r:embed="rId12"/>
                    <a:stretch>
                      <a:fillRect/>
                    </a:stretch>
                  </pic:blipFill>
                  <pic:spPr>
                    <a:xfrm>
                      <a:off x="0" y="0"/>
                      <a:ext cx="5590540" cy="7390130"/>
                    </a:xfrm>
                    <a:prstGeom prst="rect">
                      <a:avLst/>
                    </a:prstGeom>
                    <a:noFill/>
                    <a:ln w="9525">
                      <a:noFill/>
                    </a:ln>
                  </pic:spPr>
                </pic:pic>
              </a:graphicData>
            </a:graphic>
          </wp:inline>
        </w:drawing>
      </w:r>
    </w:p>
    <w:p>
      <w:pPr>
        <w:spacing w:after="0" w:line="640" w:lineRule="exact"/>
        <w:ind w:left="0" w:firstLine="0"/>
        <w:rPr>
          <w:rFonts w:hint="eastAsia" w:ascii="宋体" w:hAnsi="宋体" w:eastAsia="宋体"/>
          <w:sz w:val="28"/>
          <w:szCs w:val="28"/>
        </w:rPr>
      </w:pPr>
    </w:p>
    <w:p>
      <w:pPr>
        <w:spacing w:after="0" w:line="640" w:lineRule="exact"/>
        <w:ind w:left="0" w:firstLine="0"/>
        <w:rPr>
          <w:rFonts w:hint="eastAsia" w:ascii="宋体" w:hAnsi="宋体" w:eastAsia="宋体"/>
          <w:sz w:val="28"/>
          <w:szCs w:val="28"/>
        </w:rPr>
      </w:pPr>
    </w:p>
    <w:p>
      <w:pPr>
        <w:adjustRightInd/>
        <w:snapToGrid/>
        <w:spacing w:after="0"/>
        <w:ind w:left="0" w:firstLine="0"/>
        <w:rPr>
          <w:rFonts w:hint="eastAsia" w:ascii="宋体" w:hAnsi="宋体" w:eastAsia="宋体" w:cs="宋体"/>
          <w:sz w:val="24"/>
          <w:szCs w:val="24"/>
        </w:rPr>
      </w:pPr>
      <w:r>
        <w:rPr>
          <w:rFonts w:ascii="宋体" w:hAnsi="宋体" w:eastAsia="宋体" w:cs="宋体"/>
          <w:sz w:val="24"/>
          <w:szCs w:val="24"/>
        </w:rPr>
        <w:drawing>
          <wp:inline distT="0" distB="0" distL="114300" distR="114300">
            <wp:extent cx="5563235" cy="7678420"/>
            <wp:effectExtent l="0" t="0" r="18415" b="17780"/>
            <wp:docPr id="8" name="图片 9" descr="8R$07GV07K}WN{M)HC(EW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8R$07GV07K}WN{M)HC(EW14"/>
                    <pic:cNvPicPr>
                      <a:picLocks noChangeAspect="1"/>
                    </pic:cNvPicPr>
                  </pic:nvPicPr>
                  <pic:blipFill>
                    <a:blip r:embed="rId13"/>
                    <a:stretch>
                      <a:fillRect/>
                    </a:stretch>
                  </pic:blipFill>
                  <pic:spPr>
                    <a:xfrm>
                      <a:off x="0" y="0"/>
                      <a:ext cx="5563235" cy="7678420"/>
                    </a:xfrm>
                    <a:prstGeom prst="rect">
                      <a:avLst/>
                    </a:prstGeom>
                    <a:noFill/>
                    <a:ln w="9525">
                      <a:noFill/>
                    </a:ln>
                  </pic:spPr>
                </pic:pic>
              </a:graphicData>
            </a:graphic>
          </wp:inline>
        </w:drawing>
      </w:r>
    </w:p>
    <w:p>
      <w:pPr>
        <w:adjustRightInd/>
        <w:snapToGrid/>
        <w:spacing w:after="0"/>
        <w:ind w:left="0" w:firstLine="0"/>
        <w:rPr>
          <w:rFonts w:hint="eastAsia" w:ascii="宋体" w:hAnsi="宋体" w:eastAsia="宋体" w:cs="宋体"/>
          <w:sz w:val="24"/>
          <w:szCs w:val="24"/>
        </w:rPr>
      </w:pPr>
    </w:p>
    <w:p>
      <w:pPr>
        <w:adjustRightInd/>
        <w:snapToGrid/>
        <w:spacing w:after="0"/>
        <w:ind w:left="0" w:firstLine="0"/>
        <w:rPr>
          <w:rFonts w:ascii="宋体" w:hAnsi="宋体" w:eastAsia="宋体" w:cs="宋体"/>
          <w:sz w:val="24"/>
          <w:szCs w:val="24"/>
        </w:rPr>
      </w:pP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563235" cy="6172200"/>
            <wp:effectExtent l="0" t="0" r="18415" b="0"/>
            <wp:docPr id="9" name="图片 10" descr="JV0VG`QYT8(FRP}ZK@0R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JV0VG`QYT8(FRP}ZK@0R2D8"/>
                    <pic:cNvPicPr>
                      <a:picLocks noChangeAspect="1"/>
                    </pic:cNvPicPr>
                  </pic:nvPicPr>
                  <pic:blipFill>
                    <a:blip r:embed="rId14"/>
                    <a:stretch>
                      <a:fillRect/>
                    </a:stretch>
                  </pic:blipFill>
                  <pic:spPr>
                    <a:xfrm>
                      <a:off x="0" y="0"/>
                      <a:ext cx="5563235" cy="6172200"/>
                    </a:xfrm>
                    <a:prstGeom prst="rect">
                      <a:avLst/>
                    </a:prstGeom>
                    <a:noFill/>
                    <a:ln w="9525">
                      <a:noFill/>
                    </a:ln>
                  </pic:spPr>
                </pic:pic>
              </a:graphicData>
            </a:graphic>
          </wp:inline>
        </w:drawing>
      </w:r>
    </w:p>
    <w:p>
      <w:pPr>
        <w:spacing w:after="0" w:line="640" w:lineRule="exact"/>
        <w:ind w:left="0" w:firstLine="0"/>
        <w:rPr>
          <w:rFonts w:hint="eastAsia" w:ascii="宋体" w:hAnsi="宋体" w:eastAsia="宋体"/>
          <w:sz w:val="28"/>
          <w:szCs w:val="28"/>
        </w:rPr>
      </w:pPr>
    </w:p>
    <w:p>
      <w:pPr>
        <w:spacing w:after="0" w:line="640" w:lineRule="exact"/>
        <w:ind w:left="0" w:firstLine="0"/>
        <w:rPr>
          <w:rFonts w:hint="eastAsia" w:ascii="宋体" w:hAnsi="宋体" w:eastAsia="宋体"/>
          <w:sz w:val="28"/>
          <w:szCs w:val="28"/>
        </w:rPr>
      </w:pPr>
    </w:p>
    <w:p>
      <w:pPr>
        <w:spacing w:after="0" w:line="640" w:lineRule="exact"/>
        <w:ind w:left="0" w:firstLine="0"/>
        <w:rPr>
          <w:rFonts w:hint="eastAsia" w:ascii="宋体" w:hAnsi="宋体" w:eastAsia="宋体"/>
          <w:sz w:val="28"/>
          <w:szCs w:val="28"/>
        </w:rPr>
      </w:pPr>
    </w:p>
    <w:p>
      <w:pPr>
        <w:spacing w:after="0" w:line="640" w:lineRule="exact"/>
        <w:ind w:left="0" w:firstLine="0"/>
        <w:rPr>
          <w:rFonts w:hint="eastAsia" w:ascii="宋体" w:hAnsi="宋体" w:eastAsia="宋体"/>
          <w:sz w:val="28"/>
          <w:szCs w:val="28"/>
        </w:rPr>
      </w:pP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486400" cy="7571105"/>
            <wp:effectExtent l="0" t="0" r="0" b="10795"/>
            <wp:docPr id="10" name="图片 11" descr="`AN[BKJ9)P)33]~F84UHU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AN[BKJ9)P)33]~F84UHU2K"/>
                    <pic:cNvPicPr>
                      <a:picLocks noChangeAspect="1"/>
                    </pic:cNvPicPr>
                  </pic:nvPicPr>
                  <pic:blipFill>
                    <a:blip r:embed="rId15"/>
                    <a:stretch>
                      <a:fillRect/>
                    </a:stretch>
                  </pic:blipFill>
                  <pic:spPr>
                    <a:xfrm>
                      <a:off x="0" y="0"/>
                      <a:ext cx="5486400" cy="7571105"/>
                    </a:xfrm>
                    <a:prstGeom prst="rect">
                      <a:avLst/>
                    </a:prstGeom>
                    <a:noFill/>
                    <a:ln w="9525">
                      <a:noFill/>
                    </a:ln>
                  </pic:spPr>
                </pic:pic>
              </a:graphicData>
            </a:graphic>
          </wp:inline>
        </w:drawing>
      </w:r>
    </w:p>
    <w:p>
      <w:pPr>
        <w:spacing w:after="0" w:line="640" w:lineRule="exact"/>
        <w:ind w:left="0" w:firstLine="0"/>
        <w:rPr>
          <w:rFonts w:hint="eastAsia" w:ascii="宋体" w:hAnsi="宋体" w:eastAsia="宋体"/>
          <w:sz w:val="28"/>
          <w:szCs w:val="28"/>
        </w:rPr>
      </w:pPr>
    </w:p>
    <w:p>
      <w:pPr>
        <w:adjustRightInd/>
        <w:snapToGrid/>
        <w:spacing w:after="0"/>
        <w:ind w:left="0" w:firstLine="0"/>
        <w:rPr>
          <w:rFonts w:hint="eastAsia" w:ascii="宋体" w:hAnsi="宋体" w:eastAsia="宋体" w:cs="宋体"/>
          <w:sz w:val="24"/>
          <w:szCs w:val="24"/>
        </w:rPr>
      </w:pPr>
      <w:r>
        <w:rPr>
          <w:rFonts w:ascii="宋体" w:hAnsi="宋体" w:eastAsia="宋体" w:cs="宋体"/>
          <w:sz w:val="24"/>
          <w:szCs w:val="24"/>
        </w:rPr>
        <w:drawing>
          <wp:inline distT="0" distB="0" distL="114300" distR="114300">
            <wp:extent cx="5427980" cy="7840345"/>
            <wp:effectExtent l="0" t="0" r="1270" b="8255"/>
            <wp:docPr id="11" name="图片 12" descr="F0OXD)C5QF@6E[LAT$Q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F0OXD)C5QF@6E[LAT$QN}TE"/>
                    <pic:cNvPicPr>
                      <a:picLocks noChangeAspect="1"/>
                    </pic:cNvPicPr>
                  </pic:nvPicPr>
                  <pic:blipFill>
                    <a:blip r:embed="rId16"/>
                    <a:stretch>
                      <a:fillRect/>
                    </a:stretch>
                  </pic:blipFill>
                  <pic:spPr>
                    <a:xfrm>
                      <a:off x="0" y="0"/>
                      <a:ext cx="5427980" cy="7840345"/>
                    </a:xfrm>
                    <a:prstGeom prst="rect">
                      <a:avLst/>
                    </a:prstGeom>
                    <a:noFill/>
                    <a:ln w="9525">
                      <a:noFill/>
                    </a:ln>
                  </pic:spPr>
                </pic:pic>
              </a:graphicData>
            </a:graphic>
          </wp:inline>
        </w:drawing>
      </w:r>
    </w:p>
    <w:p>
      <w:pPr>
        <w:adjustRightInd/>
        <w:snapToGrid/>
        <w:spacing w:after="0"/>
        <w:ind w:left="0" w:firstLine="0"/>
        <w:rPr>
          <w:rFonts w:hint="eastAsia" w:ascii="宋体" w:hAnsi="宋体" w:eastAsia="宋体" w:cs="宋体"/>
          <w:sz w:val="24"/>
          <w:szCs w:val="24"/>
        </w:rPr>
      </w:pPr>
    </w:p>
    <w:p>
      <w:pPr>
        <w:adjustRightInd/>
        <w:snapToGrid/>
        <w:spacing w:after="0"/>
        <w:ind w:left="0" w:firstLine="0"/>
        <w:rPr>
          <w:rFonts w:hint="eastAsia" w:ascii="宋体" w:hAnsi="宋体" w:eastAsia="宋体" w:cs="宋体"/>
          <w:sz w:val="24"/>
          <w:szCs w:val="24"/>
        </w:rPr>
      </w:pPr>
    </w:p>
    <w:p>
      <w:pPr>
        <w:adjustRightInd/>
        <w:snapToGrid/>
        <w:spacing w:after="0"/>
        <w:ind w:left="0" w:firstLine="0"/>
        <w:rPr>
          <w:rFonts w:ascii="宋体" w:hAnsi="宋体" w:eastAsia="宋体" w:cs="宋体"/>
          <w:sz w:val="24"/>
          <w:szCs w:val="24"/>
        </w:rPr>
      </w:pP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609590" cy="7390130"/>
            <wp:effectExtent l="0" t="0" r="10160" b="1270"/>
            <wp:docPr id="12" name="图片 13" descr="_VVTQ12U[(X0QZK7(B8UR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_VVTQ12U[(X0QZK7(B8UR7V"/>
                    <pic:cNvPicPr>
                      <a:picLocks noChangeAspect="1"/>
                    </pic:cNvPicPr>
                  </pic:nvPicPr>
                  <pic:blipFill>
                    <a:blip r:embed="rId17"/>
                    <a:stretch>
                      <a:fillRect/>
                    </a:stretch>
                  </pic:blipFill>
                  <pic:spPr>
                    <a:xfrm>
                      <a:off x="0" y="0"/>
                      <a:ext cx="5609590" cy="7390130"/>
                    </a:xfrm>
                    <a:prstGeom prst="rect">
                      <a:avLst/>
                    </a:prstGeom>
                    <a:noFill/>
                    <a:ln w="9525">
                      <a:noFill/>
                    </a:ln>
                  </pic:spPr>
                </pic:pic>
              </a:graphicData>
            </a:graphic>
          </wp:inline>
        </w:drawing>
      </w:r>
    </w:p>
    <w:p>
      <w:pPr>
        <w:spacing w:after="0" w:line="640" w:lineRule="exact"/>
        <w:ind w:left="0" w:firstLine="0"/>
        <w:rPr>
          <w:rFonts w:hint="eastAsia" w:ascii="宋体" w:hAnsi="宋体" w:eastAsia="宋体"/>
          <w:sz w:val="28"/>
          <w:szCs w:val="28"/>
        </w:rPr>
      </w:pP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467350" cy="7324090"/>
            <wp:effectExtent l="0" t="0" r="0" b="10160"/>
            <wp:docPr id="13" name="图片 14" descr="S[9N0VDBF]~$`T0F2)_6`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S[9N0VDBF]~$`T0F2)_6`Y2"/>
                    <pic:cNvPicPr>
                      <a:picLocks noChangeAspect="1"/>
                    </pic:cNvPicPr>
                  </pic:nvPicPr>
                  <pic:blipFill>
                    <a:blip r:embed="rId18"/>
                    <a:stretch>
                      <a:fillRect/>
                    </a:stretch>
                  </pic:blipFill>
                  <pic:spPr>
                    <a:xfrm>
                      <a:off x="0" y="0"/>
                      <a:ext cx="5467350" cy="7324090"/>
                    </a:xfrm>
                    <a:prstGeom prst="rect">
                      <a:avLst/>
                    </a:prstGeom>
                    <a:noFill/>
                    <a:ln w="9525">
                      <a:noFill/>
                    </a:ln>
                  </pic:spPr>
                </pic:pic>
              </a:graphicData>
            </a:graphic>
          </wp:inline>
        </w:drawing>
      </w:r>
    </w:p>
    <w:p>
      <w:pPr>
        <w:spacing w:after="0" w:line="640" w:lineRule="exact"/>
        <w:ind w:left="0" w:firstLine="0"/>
        <w:rPr>
          <w:rFonts w:hint="eastAsia" w:ascii="宋体" w:hAnsi="宋体" w:eastAsia="宋体"/>
          <w:sz w:val="28"/>
          <w:szCs w:val="28"/>
        </w:rPr>
      </w:pPr>
    </w:p>
    <w:p>
      <w:pPr>
        <w:spacing w:after="0" w:line="640" w:lineRule="exact"/>
        <w:ind w:left="0" w:firstLine="0"/>
        <w:rPr>
          <w:rFonts w:hint="eastAsia" w:ascii="宋体" w:hAnsi="宋体" w:eastAsia="宋体"/>
          <w:sz w:val="28"/>
          <w:szCs w:val="28"/>
        </w:rPr>
      </w:pP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524500" cy="7428865"/>
            <wp:effectExtent l="0" t="0" r="0" b="635"/>
            <wp:docPr id="14" name="图片 15" descr="3D}B{SHT9%6XTHR~Y}8J~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3D}B{SHT9%6XTHR~Y}8J~Z3"/>
                    <pic:cNvPicPr>
                      <a:picLocks noChangeAspect="1"/>
                    </pic:cNvPicPr>
                  </pic:nvPicPr>
                  <pic:blipFill>
                    <a:blip r:embed="rId19"/>
                    <a:stretch>
                      <a:fillRect/>
                    </a:stretch>
                  </pic:blipFill>
                  <pic:spPr>
                    <a:xfrm>
                      <a:off x="0" y="0"/>
                      <a:ext cx="5524500" cy="7428865"/>
                    </a:xfrm>
                    <a:prstGeom prst="rect">
                      <a:avLst/>
                    </a:prstGeom>
                    <a:noFill/>
                    <a:ln w="9525">
                      <a:noFill/>
                    </a:ln>
                  </pic:spPr>
                </pic:pic>
              </a:graphicData>
            </a:graphic>
          </wp:inline>
        </w:drawing>
      </w:r>
    </w:p>
    <w:p>
      <w:pPr>
        <w:spacing w:after="0" w:line="640" w:lineRule="exact"/>
        <w:ind w:left="0" w:firstLine="0"/>
        <w:rPr>
          <w:rFonts w:hint="eastAsia" w:ascii="宋体" w:hAnsi="宋体" w:eastAsia="宋体"/>
          <w:sz w:val="28"/>
          <w:szCs w:val="28"/>
        </w:rPr>
      </w:pPr>
    </w:p>
    <w:p>
      <w:pPr>
        <w:spacing w:after="0" w:line="640" w:lineRule="exact"/>
        <w:ind w:left="0" w:firstLine="0"/>
        <w:rPr>
          <w:rFonts w:hint="eastAsia" w:ascii="宋体" w:hAnsi="宋体" w:eastAsia="宋体"/>
          <w:sz w:val="28"/>
          <w:szCs w:val="28"/>
        </w:rPr>
      </w:pP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343525" cy="7066280"/>
            <wp:effectExtent l="0" t="0" r="9525" b="1270"/>
            <wp:docPr id="15" name="图片 16" descr="8(XZ]X0%SL4]_@L57{8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8(XZ]X0%SL4]_@L57{85265"/>
                    <pic:cNvPicPr>
                      <a:picLocks noChangeAspect="1"/>
                    </pic:cNvPicPr>
                  </pic:nvPicPr>
                  <pic:blipFill>
                    <a:blip r:embed="rId20"/>
                    <a:stretch>
                      <a:fillRect/>
                    </a:stretch>
                  </pic:blipFill>
                  <pic:spPr>
                    <a:xfrm>
                      <a:off x="0" y="0"/>
                      <a:ext cx="5343525" cy="7066280"/>
                    </a:xfrm>
                    <a:prstGeom prst="rect">
                      <a:avLst/>
                    </a:prstGeom>
                    <a:noFill/>
                    <a:ln w="9525">
                      <a:noFill/>
                    </a:ln>
                  </pic:spPr>
                </pic:pic>
              </a:graphicData>
            </a:graphic>
          </wp:inline>
        </w:drawing>
      </w:r>
    </w:p>
    <w:p>
      <w:pPr>
        <w:spacing w:after="0" w:line="640" w:lineRule="exact"/>
        <w:ind w:left="0" w:firstLine="0"/>
        <w:rPr>
          <w:rFonts w:hint="eastAsia" w:ascii="宋体" w:hAnsi="宋体" w:eastAsia="宋体"/>
          <w:sz w:val="28"/>
          <w:szCs w:val="28"/>
        </w:rPr>
      </w:pPr>
    </w:p>
    <w:p>
      <w:pPr>
        <w:spacing w:after="0" w:line="640" w:lineRule="exact"/>
        <w:ind w:left="0" w:firstLine="0"/>
        <w:rPr>
          <w:rFonts w:hint="eastAsia" w:ascii="宋体" w:hAnsi="宋体" w:eastAsia="宋体"/>
          <w:sz w:val="28"/>
          <w:szCs w:val="28"/>
        </w:rPr>
      </w:pPr>
    </w:p>
    <w:p>
      <w:pPr>
        <w:spacing w:after="0" w:line="640" w:lineRule="exact"/>
        <w:ind w:left="0" w:firstLine="0"/>
        <w:rPr>
          <w:rFonts w:hint="eastAsia" w:ascii="宋体" w:hAnsi="宋体" w:eastAsia="宋体"/>
          <w:sz w:val="28"/>
          <w:szCs w:val="28"/>
        </w:rPr>
      </w:pPr>
      <w:r>
        <w:rPr>
          <w:rFonts w:hint="eastAsia" w:ascii="宋体" w:hAnsi="宋体" w:eastAsia="宋体"/>
          <w:sz w:val="28"/>
          <w:szCs w:val="28"/>
        </w:rPr>
        <w:t>四、废气处理设施改造完成后的图片</w:t>
      </w: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332730" cy="3401695"/>
            <wp:effectExtent l="0" t="0" r="1270" b="8255"/>
            <wp:docPr id="16" name="图片 17" descr="31BX[MJJJE]{%D~$9D)7Q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31BX[MJJJE]{%D~$9D)7QVM"/>
                    <pic:cNvPicPr>
                      <a:picLocks noChangeAspect="1"/>
                    </pic:cNvPicPr>
                  </pic:nvPicPr>
                  <pic:blipFill>
                    <a:blip r:embed="rId21"/>
                    <a:stretch>
                      <a:fillRect/>
                    </a:stretch>
                  </pic:blipFill>
                  <pic:spPr>
                    <a:xfrm>
                      <a:off x="0" y="0"/>
                      <a:ext cx="5332730" cy="3401695"/>
                    </a:xfrm>
                    <a:prstGeom prst="rect">
                      <a:avLst/>
                    </a:prstGeom>
                    <a:noFill/>
                    <a:ln w="9525">
                      <a:noFill/>
                    </a:ln>
                  </pic:spPr>
                </pic:pic>
              </a:graphicData>
            </a:graphic>
          </wp:inline>
        </w:drawing>
      </w:r>
    </w:p>
    <w:p>
      <w:pPr>
        <w:spacing w:after="0" w:line="640" w:lineRule="exact"/>
        <w:ind w:left="0" w:firstLine="0"/>
        <w:rPr>
          <w:rFonts w:hint="eastAsia" w:ascii="宋体" w:hAnsi="宋体" w:eastAsia="宋体"/>
          <w:sz w:val="28"/>
          <w:szCs w:val="28"/>
        </w:rPr>
      </w:pP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371465" cy="3780155"/>
            <wp:effectExtent l="0" t="0" r="635" b="10795"/>
            <wp:docPr id="17" name="图片 18" descr="DUB1~2$BE2)J1`AK5`[DQ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DUB1~2$BE2)J1`AK5`[DQXC"/>
                    <pic:cNvPicPr>
                      <a:picLocks noChangeAspect="1"/>
                    </pic:cNvPicPr>
                  </pic:nvPicPr>
                  <pic:blipFill>
                    <a:blip r:embed="rId22"/>
                    <a:stretch>
                      <a:fillRect/>
                    </a:stretch>
                  </pic:blipFill>
                  <pic:spPr>
                    <a:xfrm>
                      <a:off x="0" y="0"/>
                      <a:ext cx="5371465" cy="3780155"/>
                    </a:xfrm>
                    <a:prstGeom prst="rect">
                      <a:avLst/>
                    </a:prstGeom>
                    <a:noFill/>
                    <a:ln w="9525">
                      <a:noFill/>
                    </a:ln>
                  </pic:spPr>
                </pic:pic>
              </a:graphicData>
            </a:graphic>
          </wp:inline>
        </w:drawing>
      </w: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332730" cy="3876040"/>
            <wp:effectExtent l="0" t="0" r="1270" b="10160"/>
            <wp:docPr id="18" name="图片 19" descr="Y]A0DP3CL_8%UVD_9X7NT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Y]A0DP3CL_8%UVD_9X7NTHF"/>
                    <pic:cNvPicPr>
                      <a:picLocks noChangeAspect="1"/>
                    </pic:cNvPicPr>
                  </pic:nvPicPr>
                  <pic:blipFill>
                    <a:blip r:embed="rId23"/>
                    <a:stretch>
                      <a:fillRect/>
                    </a:stretch>
                  </pic:blipFill>
                  <pic:spPr>
                    <a:xfrm>
                      <a:off x="0" y="0"/>
                      <a:ext cx="5332730" cy="3876040"/>
                    </a:xfrm>
                    <a:prstGeom prst="rect">
                      <a:avLst/>
                    </a:prstGeom>
                    <a:noFill/>
                    <a:ln w="9525">
                      <a:noFill/>
                    </a:ln>
                  </pic:spPr>
                </pic:pic>
              </a:graphicData>
            </a:graphic>
          </wp:inline>
        </w:drawing>
      </w: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363210" cy="4161155"/>
            <wp:effectExtent l="0" t="0" r="8890" b="10795"/>
            <wp:docPr id="19" name="图片 20" descr=")YWL~LS0BU_W97B]0WJHQ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YWL~LS0BU_W97B]0WJHQ60"/>
                    <pic:cNvPicPr>
                      <a:picLocks noChangeAspect="1"/>
                    </pic:cNvPicPr>
                  </pic:nvPicPr>
                  <pic:blipFill>
                    <a:blip r:embed="rId24"/>
                    <a:stretch>
                      <a:fillRect/>
                    </a:stretch>
                  </pic:blipFill>
                  <pic:spPr>
                    <a:xfrm>
                      <a:off x="0" y="0"/>
                      <a:ext cx="5363210" cy="4161155"/>
                    </a:xfrm>
                    <a:prstGeom prst="rect">
                      <a:avLst/>
                    </a:prstGeom>
                    <a:noFill/>
                    <a:ln w="9525">
                      <a:noFill/>
                    </a:ln>
                  </pic:spPr>
                </pic:pic>
              </a:graphicData>
            </a:graphic>
          </wp:inline>
        </w:drawing>
      </w: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343525" cy="4114800"/>
            <wp:effectExtent l="0" t="0" r="9525" b="0"/>
            <wp:docPr id="20" name="图片 21" descr="I}{4}EPWA}7}~[QY`%{~N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I}{4}EPWA}7}~[QY`%{~NDP"/>
                    <pic:cNvPicPr>
                      <a:picLocks noChangeAspect="1"/>
                    </pic:cNvPicPr>
                  </pic:nvPicPr>
                  <pic:blipFill>
                    <a:blip r:embed="rId25"/>
                    <a:stretch>
                      <a:fillRect/>
                    </a:stretch>
                  </pic:blipFill>
                  <pic:spPr>
                    <a:xfrm>
                      <a:off x="0" y="0"/>
                      <a:ext cx="5343525" cy="4114800"/>
                    </a:xfrm>
                    <a:prstGeom prst="rect">
                      <a:avLst/>
                    </a:prstGeom>
                    <a:noFill/>
                    <a:ln w="9525">
                      <a:noFill/>
                    </a:ln>
                  </pic:spPr>
                </pic:pic>
              </a:graphicData>
            </a:graphic>
          </wp:inline>
        </w:drawing>
      </w: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324475" cy="4076700"/>
            <wp:effectExtent l="0" t="0" r="9525" b="0"/>
            <wp:docPr id="21" name="图片 22" descr="ZWAUP~4Y{99I0%I5E(S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descr="ZWAUP~4Y{99I0%I5E(SRA(2"/>
                    <pic:cNvPicPr>
                      <a:picLocks noChangeAspect="1"/>
                    </pic:cNvPicPr>
                  </pic:nvPicPr>
                  <pic:blipFill>
                    <a:blip r:embed="rId26"/>
                    <a:stretch>
                      <a:fillRect/>
                    </a:stretch>
                  </pic:blipFill>
                  <pic:spPr>
                    <a:xfrm>
                      <a:off x="0" y="0"/>
                      <a:ext cx="5324475" cy="4076700"/>
                    </a:xfrm>
                    <a:prstGeom prst="rect">
                      <a:avLst/>
                    </a:prstGeom>
                    <a:noFill/>
                    <a:ln w="9525">
                      <a:noFill/>
                    </a:ln>
                  </pic:spPr>
                </pic:pic>
              </a:graphicData>
            </a:graphic>
          </wp:inline>
        </w:drawing>
      </w: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371465" cy="4037965"/>
            <wp:effectExtent l="0" t="0" r="635" b="635"/>
            <wp:docPr id="22" name="图片 23" descr="_5CZ59KW%N4D5K8H{]EEE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_5CZ59KW%N4D5K8H{]EEEVK"/>
                    <pic:cNvPicPr>
                      <a:picLocks noChangeAspect="1"/>
                    </pic:cNvPicPr>
                  </pic:nvPicPr>
                  <pic:blipFill>
                    <a:blip r:embed="rId27"/>
                    <a:stretch>
                      <a:fillRect/>
                    </a:stretch>
                  </pic:blipFill>
                  <pic:spPr>
                    <a:xfrm>
                      <a:off x="0" y="0"/>
                      <a:ext cx="5371465" cy="4037965"/>
                    </a:xfrm>
                    <a:prstGeom prst="rect">
                      <a:avLst/>
                    </a:prstGeom>
                    <a:noFill/>
                    <a:ln w="9525">
                      <a:noFill/>
                    </a:ln>
                  </pic:spPr>
                </pic:pic>
              </a:graphicData>
            </a:graphic>
          </wp:inline>
        </w:drawing>
      </w: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371465" cy="4037965"/>
            <wp:effectExtent l="0" t="0" r="635" b="635"/>
            <wp:docPr id="23" name="图片 24" descr="2D7_Q[QRP$WWER]9]BWMU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2D7_Q[QRP$WWER]9]BWMUA6"/>
                    <pic:cNvPicPr>
                      <a:picLocks noChangeAspect="1"/>
                    </pic:cNvPicPr>
                  </pic:nvPicPr>
                  <pic:blipFill>
                    <a:blip r:embed="rId28"/>
                    <a:stretch>
                      <a:fillRect/>
                    </a:stretch>
                  </pic:blipFill>
                  <pic:spPr>
                    <a:xfrm>
                      <a:off x="0" y="0"/>
                      <a:ext cx="5371465" cy="4037965"/>
                    </a:xfrm>
                    <a:prstGeom prst="rect">
                      <a:avLst/>
                    </a:prstGeom>
                    <a:noFill/>
                    <a:ln w="9525">
                      <a:noFill/>
                    </a:ln>
                  </pic:spPr>
                </pic:pic>
              </a:graphicData>
            </a:graphic>
          </wp:inline>
        </w:drawing>
      </w: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571490" cy="2924175"/>
            <wp:effectExtent l="0" t="0" r="10160" b="9525"/>
            <wp:docPr id="24" name="图片 25" descr="]C]NNBSVG3NC]I9]G%A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C]NNBSVG3NC]I9]G%ARA~X"/>
                    <pic:cNvPicPr>
                      <a:picLocks noChangeAspect="1"/>
                    </pic:cNvPicPr>
                  </pic:nvPicPr>
                  <pic:blipFill>
                    <a:blip r:embed="rId29"/>
                    <a:stretch>
                      <a:fillRect/>
                    </a:stretch>
                  </pic:blipFill>
                  <pic:spPr>
                    <a:xfrm>
                      <a:off x="0" y="0"/>
                      <a:ext cx="5571490" cy="2924175"/>
                    </a:xfrm>
                    <a:prstGeom prst="rect">
                      <a:avLst/>
                    </a:prstGeom>
                    <a:noFill/>
                    <a:ln w="9525">
                      <a:noFill/>
                    </a:ln>
                  </pic:spPr>
                </pic:pic>
              </a:graphicData>
            </a:graphic>
          </wp:inline>
        </w:drawing>
      </w: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5563235" cy="4904740"/>
            <wp:effectExtent l="0" t="0" r="18415" b="10160"/>
            <wp:docPr id="25" name="图片 26" descr="7JJ0450PQU[KTC4%MQS9H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descr="7JJ0450PQU[KTC4%MQS9HBJ"/>
                    <pic:cNvPicPr>
                      <a:picLocks noChangeAspect="1"/>
                    </pic:cNvPicPr>
                  </pic:nvPicPr>
                  <pic:blipFill>
                    <a:blip r:embed="rId30"/>
                    <a:stretch>
                      <a:fillRect/>
                    </a:stretch>
                  </pic:blipFill>
                  <pic:spPr>
                    <a:xfrm>
                      <a:off x="0" y="0"/>
                      <a:ext cx="5563235" cy="4904740"/>
                    </a:xfrm>
                    <a:prstGeom prst="rect">
                      <a:avLst/>
                    </a:prstGeom>
                    <a:noFill/>
                    <a:ln w="9525">
                      <a:noFill/>
                    </a:ln>
                  </pic:spPr>
                </pic:pic>
              </a:graphicData>
            </a:graphic>
          </wp:inline>
        </w:drawing>
      </w:r>
    </w:p>
    <w:p>
      <w:pPr>
        <w:spacing w:after="0" w:line="640" w:lineRule="exact"/>
        <w:ind w:left="0" w:firstLine="0"/>
        <w:rPr>
          <w:rFonts w:ascii="宋体" w:hAnsi="宋体" w:eastAsia="宋体"/>
          <w:sz w:val="28"/>
          <w:szCs w:val="28"/>
        </w:rPr>
        <w:sectPr>
          <w:headerReference r:id="rId3" w:type="default"/>
          <w:footerReference r:id="rId4" w:type="default"/>
          <w:pgSz w:w="11906" w:h="16838"/>
          <w:pgMar w:top="1440" w:right="1800" w:bottom="1440" w:left="1800" w:header="851" w:footer="992" w:gutter="0"/>
          <w:cols w:space="720" w:num="1"/>
          <w:docGrid w:type="lines" w:linePitch="312" w:charSpace="0"/>
        </w:sectPr>
      </w:pPr>
      <w:r>
        <w:rPr>
          <w:rFonts w:ascii="宋体" w:hAnsi="宋体"/>
          <w:b/>
          <w:bCs/>
        </w:rPr>
        <w:t> </w:t>
      </w:r>
    </w:p>
    <w:p>
      <w:pPr>
        <w:adjustRightInd/>
        <w:snapToGrid/>
        <w:spacing w:after="0"/>
        <w:ind w:left="0" w:firstLine="0"/>
        <w:rPr>
          <w:rFonts w:ascii="宋体" w:hAnsi="宋体" w:eastAsia="宋体" w:cs="宋体"/>
          <w:sz w:val="24"/>
          <w:szCs w:val="24"/>
        </w:rPr>
      </w:pPr>
      <w:r>
        <w:rPr>
          <w:rFonts w:ascii="宋体" w:hAnsi="宋体" w:eastAsia="宋体" w:cs="宋体"/>
          <w:sz w:val="24"/>
          <w:szCs w:val="24"/>
        </w:rPr>
        <w:drawing>
          <wp:inline distT="0" distB="0" distL="114300" distR="114300">
            <wp:extent cx="6068060" cy="5440045"/>
            <wp:effectExtent l="0" t="0" r="8890" b="8255"/>
            <wp:docPr id="26" name="图片 27" descr="L2UB[HLSIH5FXG~API[L8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descr="L2UB[HLSIH5FXG~API[L8N1"/>
                    <pic:cNvPicPr>
                      <a:picLocks noChangeAspect="1"/>
                    </pic:cNvPicPr>
                  </pic:nvPicPr>
                  <pic:blipFill>
                    <a:blip r:embed="rId31"/>
                    <a:stretch>
                      <a:fillRect/>
                    </a:stretch>
                  </pic:blipFill>
                  <pic:spPr>
                    <a:xfrm>
                      <a:off x="0" y="0"/>
                      <a:ext cx="6068060" cy="5440045"/>
                    </a:xfrm>
                    <a:prstGeom prst="rect">
                      <a:avLst/>
                    </a:prstGeom>
                    <a:noFill/>
                    <a:ln w="9525">
                      <a:noFill/>
                    </a:ln>
                  </pic:spPr>
                </pic:pic>
              </a:graphicData>
            </a:graphic>
          </wp:inline>
        </w:drawing>
      </w:r>
    </w:p>
    <w:p>
      <w:pPr>
        <w:pStyle w:val="7"/>
        <w:ind w:left="0" w:firstLine="0"/>
        <w:rPr>
          <w:rFonts w:hint="eastAsia"/>
          <w:szCs w:val="28"/>
        </w:rPr>
      </w:pPr>
    </w:p>
    <w:sectPr>
      <w:pgSz w:w="11906" w:h="16838"/>
      <w:pgMar w:top="1418" w:right="1077" w:bottom="1077" w:left="1077" w:header="709" w:footer="709" w:gutter="0"/>
      <w:cols w:space="720"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2</w:t>
    </w:r>
    <w: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0" w:firstLine="0"/>
      <w:jc w:val="left"/>
      <w:rPr>
        <w:sz w:val="24"/>
        <w:szCs w:val="24"/>
      </w:rPr>
    </w:pPr>
    <w:r>
      <w:drawing>
        <wp:inline distT="0" distB="0" distL="114300" distR="114300">
          <wp:extent cx="1390650" cy="447675"/>
          <wp:effectExtent l="0" t="0" r="0" b="9525"/>
          <wp:docPr id="27" name="Picture 1" descr="图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descr="图形2"/>
                  <pic:cNvPicPr>
                    <a:picLocks noChangeAspect="1"/>
                  </pic:cNvPicPr>
                </pic:nvPicPr>
                <pic:blipFill>
                  <a:blip r:embed="rId1"/>
                  <a:stretch>
                    <a:fillRect/>
                  </a:stretch>
                </pic:blipFill>
                <pic:spPr>
                  <a:xfrm>
                    <a:off x="0" y="0"/>
                    <a:ext cx="1390650" cy="447675"/>
                  </a:xfrm>
                  <a:prstGeom prst="rect">
                    <a:avLst/>
                  </a:prstGeom>
                  <a:noFill/>
                  <a:ln w="9525">
                    <a:noFill/>
                  </a:ln>
                </pic:spPr>
              </pic:pic>
            </a:graphicData>
          </a:graphic>
        </wp:inline>
      </w:drawing>
    </w:r>
    <w:r>
      <w:rPr>
        <w:rFonts w:hint="eastAsia"/>
      </w:rPr>
      <w:t xml:space="preserve">                                                                               废气处理设施改造</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C31AF"/>
    <w:multiLevelType w:val="multilevel"/>
    <w:tmpl w:val="1CFC31AF"/>
    <w:lvl w:ilvl="0" w:tentative="0">
      <w:start w:val="1"/>
      <w:numFmt w:val="decimal"/>
      <w:lvlText w:val="%1、"/>
      <w:lvlJc w:val="left"/>
      <w:pPr>
        <w:ind w:left="720" w:hanging="7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FC75551"/>
    <w:multiLevelType w:val="multilevel"/>
    <w:tmpl w:val="4FC75551"/>
    <w:lvl w:ilvl="0" w:tentative="0">
      <w:start w:val="1"/>
      <w:numFmt w:val="decimal"/>
      <w:lvlText w:val="%1"/>
      <w:lvlJc w:val="left"/>
      <w:pPr>
        <w:ind w:left="450" w:hanging="450"/>
      </w:pPr>
      <w:rPr>
        <w:rFonts w:hint="default" w:cs="宋体"/>
        <w:color w:val="000000"/>
      </w:rPr>
    </w:lvl>
    <w:lvl w:ilvl="1" w:tentative="0">
      <w:start w:val="1"/>
      <w:numFmt w:val="decimal"/>
      <w:lvlText w:val="%1.%2"/>
      <w:lvlJc w:val="left"/>
      <w:pPr>
        <w:ind w:left="720" w:hanging="720"/>
      </w:pPr>
      <w:rPr>
        <w:rFonts w:hint="default" w:cs="宋体"/>
        <w:color w:val="000000"/>
      </w:rPr>
    </w:lvl>
    <w:lvl w:ilvl="2" w:tentative="0">
      <w:start w:val="1"/>
      <w:numFmt w:val="decimal"/>
      <w:lvlText w:val="%1.%2.%3"/>
      <w:lvlJc w:val="left"/>
      <w:pPr>
        <w:ind w:left="720" w:hanging="720"/>
      </w:pPr>
      <w:rPr>
        <w:rFonts w:hint="default" w:cs="宋体"/>
        <w:color w:val="000000"/>
      </w:rPr>
    </w:lvl>
    <w:lvl w:ilvl="3" w:tentative="0">
      <w:start w:val="1"/>
      <w:numFmt w:val="decimal"/>
      <w:lvlText w:val="%1.%2.%3.%4"/>
      <w:lvlJc w:val="left"/>
      <w:pPr>
        <w:ind w:left="1080" w:hanging="1080"/>
      </w:pPr>
      <w:rPr>
        <w:rFonts w:hint="default" w:cs="宋体"/>
        <w:color w:val="000000"/>
      </w:rPr>
    </w:lvl>
    <w:lvl w:ilvl="4" w:tentative="0">
      <w:start w:val="1"/>
      <w:numFmt w:val="decimal"/>
      <w:lvlText w:val="%1.%2.%3.%4.%5"/>
      <w:lvlJc w:val="left"/>
      <w:pPr>
        <w:ind w:left="1440" w:hanging="1440"/>
      </w:pPr>
      <w:rPr>
        <w:rFonts w:hint="default" w:cs="宋体"/>
        <w:color w:val="000000"/>
      </w:rPr>
    </w:lvl>
    <w:lvl w:ilvl="5" w:tentative="0">
      <w:start w:val="1"/>
      <w:numFmt w:val="decimal"/>
      <w:lvlText w:val="%1.%2.%3.%4.%5.%6"/>
      <w:lvlJc w:val="left"/>
      <w:pPr>
        <w:ind w:left="1800" w:hanging="1800"/>
      </w:pPr>
      <w:rPr>
        <w:rFonts w:hint="default" w:cs="宋体"/>
        <w:color w:val="000000"/>
      </w:rPr>
    </w:lvl>
    <w:lvl w:ilvl="6" w:tentative="0">
      <w:start w:val="1"/>
      <w:numFmt w:val="decimal"/>
      <w:lvlText w:val="%1.%2.%3.%4.%5.%6.%7"/>
      <w:lvlJc w:val="left"/>
      <w:pPr>
        <w:ind w:left="2160" w:hanging="2160"/>
      </w:pPr>
      <w:rPr>
        <w:rFonts w:hint="default" w:cs="宋体"/>
        <w:color w:val="000000"/>
      </w:rPr>
    </w:lvl>
    <w:lvl w:ilvl="7" w:tentative="0">
      <w:start w:val="1"/>
      <w:numFmt w:val="decimal"/>
      <w:lvlText w:val="%1.%2.%3.%4.%5.%6.%7.%8"/>
      <w:lvlJc w:val="left"/>
      <w:pPr>
        <w:ind w:left="2160" w:hanging="2160"/>
      </w:pPr>
      <w:rPr>
        <w:rFonts w:hint="default" w:cs="宋体"/>
        <w:color w:val="000000"/>
      </w:rPr>
    </w:lvl>
    <w:lvl w:ilvl="8" w:tentative="0">
      <w:start w:val="1"/>
      <w:numFmt w:val="decimal"/>
      <w:lvlText w:val="%1.%2.%3.%4.%5.%6.%7.%8.%9"/>
      <w:lvlJc w:val="left"/>
      <w:pPr>
        <w:ind w:left="2520" w:hanging="2520"/>
      </w:pPr>
      <w:rPr>
        <w:rFonts w:hint="default" w:cs="宋体"/>
        <w:color w:val="000000"/>
      </w:rPr>
    </w:lvl>
  </w:abstractNum>
  <w:abstractNum w:abstractNumId="2">
    <w:nsid w:val="742D3B53"/>
    <w:multiLevelType w:val="multilevel"/>
    <w:tmpl w:val="742D3B5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7595BCA"/>
    <w:multiLevelType w:val="multilevel"/>
    <w:tmpl w:val="77595BCA"/>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hyphenationZone w:val="360"/>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12C"/>
    <w:rsid w:val="0004275E"/>
    <w:rsid w:val="00051421"/>
    <w:rsid w:val="000837D8"/>
    <w:rsid w:val="000A6577"/>
    <w:rsid w:val="000A7E37"/>
    <w:rsid w:val="000C407A"/>
    <w:rsid w:val="002B00BD"/>
    <w:rsid w:val="003211B7"/>
    <w:rsid w:val="00323B43"/>
    <w:rsid w:val="003D37D8"/>
    <w:rsid w:val="003E4011"/>
    <w:rsid w:val="004358AB"/>
    <w:rsid w:val="00454545"/>
    <w:rsid w:val="00470EC5"/>
    <w:rsid w:val="004A5281"/>
    <w:rsid w:val="004A7902"/>
    <w:rsid w:val="0050220C"/>
    <w:rsid w:val="005F1A22"/>
    <w:rsid w:val="005F43CA"/>
    <w:rsid w:val="00621F23"/>
    <w:rsid w:val="00653389"/>
    <w:rsid w:val="006704A8"/>
    <w:rsid w:val="006853B7"/>
    <w:rsid w:val="006F031F"/>
    <w:rsid w:val="00704B82"/>
    <w:rsid w:val="00767012"/>
    <w:rsid w:val="007A0432"/>
    <w:rsid w:val="007C2246"/>
    <w:rsid w:val="007F45D2"/>
    <w:rsid w:val="00801398"/>
    <w:rsid w:val="00804AAC"/>
    <w:rsid w:val="008A1598"/>
    <w:rsid w:val="008B7726"/>
    <w:rsid w:val="008D6B50"/>
    <w:rsid w:val="008E1D5B"/>
    <w:rsid w:val="00921B69"/>
    <w:rsid w:val="00946207"/>
    <w:rsid w:val="00A207E3"/>
    <w:rsid w:val="00AB68D4"/>
    <w:rsid w:val="00AD6275"/>
    <w:rsid w:val="00AF07A9"/>
    <w:rsid w:val="00B53FBB"/>
    <w:rsid w:val="00BB620D"/>
    <w:rsid w:val="00BB62C2"/>
    <w:rsid w:val="00C332B5"/>
    <w:rsid w:val="00C4212C"/>
    <w:rsid w:val="00C76507"/>
    <w:rsid w:val="00CA5FA7"/>
    <w:rsid w:val="00D1307A"/>
    <w:rsid w:val="00D61503"/>
    <w:rsid w:val="00D73664"/>
    <w:rsid w:val="00D87D54"/>
    <w:rsid w:val="00DA2DFF"/>
    <w:rsid w:val="00DB42A5"/>
    <w:rsid w:val="00DC394B"/>
    <w:rsid w:val="00E043A4"/>
    <w:rsid w:val="00E1128B"/>
    <w:rsid w:val="00E5266A"/>
    <w:rsid w:val="00E653C2"/>
    <w:rsid w:val="00EA2369"/>
    <w:rsid w:val="00EF156C"/>
    <w:rsid w:val="00F728E7"/>
    <w:rsid w:val="00FF3F7D"/>
    <w:rsid w:val="3671027E"/>
    <w:rsid w:val="694247D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ind w:left="720" w:hanging="720"/>
    </w:pPr>
    <w:rPr>
      <w:rFonts w:ascii="Tahoma" w:hAnsi="Tahoma"/>
      <w:sz w:val="22"/>
      <w:szCs w:val="22"/>
      <w:lang w:val="en-US" w:eastAsia="zh-CN" w:bidi="ar-SA"/>
    </w:rPr>
  </w:style>
  <w:style w:type="character" w:default="1" w:styleId="5">
    <w:name w:val="Default Paragraph Font"/>
    <w:unhideWhenUsed/>
    <w:uiPriority w:val="1"/>
  </w:style>
  <w:style w:type="table" w:default="1" w:styleId="6">
    <w:name w:val="Normal Table"/>
    <w:unhideWhenUsed/>
    <w:qFormat/>
    <w:uiPriority w:val="99"/>
    <w:tblPr>
      <w:tblStyle w:val="6"/>
      <w:tblLayout w:type="fixed"/>
      <w:tblCellMar>
        <w:top w:w="0" w:type="dxa"/>
        <w:left w:w="108" w:type="dxa"/>
        <w:bottom w:w="0" w:type="dxa"/>
        <w:right w:w="108" w:type="dxa"/>
      </w:tblCellMar>
    </w:tblPr>
  </w:style>
  <w:style w:type="paragraph" w:styleId="2">
    <w:name w:val="Date"/>
    <w:basedOn w:val="1"/>
    <w:next w:val="1"/>
    <w:link w:val="10"/>
    <w:unhideWhenUsed/>
    <w:uiPriority w:val="99"/>
    <w:pPr>
      <w:ind w:left="100" w:leftChars="2500"/>
    </w:pPr>
  </w:style>
  <w:style w:type="paragraph" w:styleId="3">
    <w:name w:val="footer"/>
    <w:basedOn w:val="1"/>
    <w:link w:val="8"/>
    <w:unhideWhenUsed/>
    <w:uiPriority w:val="99"/>
    <w:pPr>
      <w:tabs>
        <w:tab w:val="center" w:pos="4153"/>
        <w:tab w:val="right" w:pos="8306"/>
      </w:tabs>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jc w:val="center"/>
    </w:pPr>
    <w:rPr>
      <w:sz w:val="18"/>
      <w:szCs w:val="18"/>
    </w:rPr>
  </w:style>
  <w:style w:type="paragraph" w:styleId="7">
    <w:name w:val="No Spacing"/>
    <w:link w:val="11"/>
    <w:qFormat/>
    <w:uiPriority w:val="1"/>
    <w:pPr>
      <w:adjustRightInd w:val="0"/>
      <w:snapToGrid w:val="0"/>
      <w:ind w:left="720" w:hanging="720"/>
    </w:pPr>
    <w:rPr>
      <w:rFonts w:ascii="Tahoma" w:hAnsi="Tahoma"/>
      <w:sz w:val="22"/>
      <w:szCs w:val="22"/>
      <w:lang w:val="en-US" w:eastAsia="zh-CN" w:bidi="ar-SA"/>
    </w:rPr>
  </w:style>
  <w:style w:type="character" w:customStyle="1" w:styleId="8">
    <w:name w:val="页脚 Char"/>
    <w:basedOn w:val="5"/>
    <w:link w:val="3"/>
    <w:uiPriority w:val="99"/>
    <w:rPr>
      <w:rFonts w:ascii="Tahoma" w:hAnsi="Tahoma"/>
      <w:sz w:val="18"/>
      <w:szCs w:val="18"/>
    </w:rPr>
  </w:style>
  <w:style w:type="character" w:customStyle="1" w:styleId="9">
    <w:name w:val="页眉 Char"/>
    <w:basedOn w:val="5"/>
    <w:link w:val="4"/>
    <w:uiPriority w:val="99"/>
    <w:rPr>
      <w:rFonts w:ascii="Tahoma" w:hAnsi="Tahoma"/>
      <w:sz w:val="18"/>
      <w:szCs w:val="18"/>
    </w:rPr>
  </w:style>
  <w:style w:type="character" w:customStyle="1" w:styleId="10">
    <w:name w:val="日期 Char"/>
    <w:basedOn w:val="5"/>
    <w:link w:val="2"/>
    <w:semiHidden/>
    <w:uiPriority w:val="99"/>
    <w:rPr>
      <w:rFonts w:ascii="Tahoma" w:hAnsi="Tahoma"/>
    </w:rPr>
  </w:style>
  <w:style w:type="character" w:customStyle="1" w:styleId="11">
    <w:name w:val="无间隔 Char"/>
    <w:basedOn w:val="5"/>
    <w:link w:val="7"/>
    <w:uiPriority w:val="1"/>
    <w:rPr>
      <w:rFonts w:ascii="Tahoma" w:hAnsi="Tahoma"/>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1297</Words>
  <Characters>7394</Characters>
  <Lines>61</Lines>
  <Paragraphs>17</Paragraphs>
  <TotalTime>3</TotalTime>
  <ScaleCrop>false</ScaleCrop>
  <LinksUpToDate>false</LinksUpToDate>
  <CharactersWithSpaces>8674</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2018-03-08T08:14:00Z</dcterms:created>
  <dc:creator>Administrator</dc:creator>
  <cp:lastModifiedBy>Administrator</cp:lastModifiedBy>
  <dcterms:modified xsi:type="dcterms:W3CDTF">2018-08-18T01:28:50Z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